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4D" w:rsidRDefault="00597E19">
      <w:pPr>
        <w:rPr>
          <w:b/>
          <w:lang w:val="en-GB"/>
        </w:rPr>
      </w:pPr>
      <w:r>
        <w:rPr>
          <w:b/>
          <w:lang w:val="en-GB"/>
        </w:rPr>
        <w:t xml:space="preserve">Project title: </w:t>
      </w:r>
      <w:r w:rsidR="00D641FA" w:rsidRPr="00130CF0">
        <w:rPr>
          <w:b/>
          <w:lang w:val="en-GB"/>
        </w:rPr>
        <w:t>Assessment of an Appropriate Health Care Supply in Switzerland: the Example of Coronary Heart Disease</w:t>
      </w:r>
    </w:p>
    <w:p w:rsidR="00597E19" w:rsidRPr="00130CF0" w:rsidRDefault="00597E19">
      <w:pPr>
        <w:rPr>
          <w:b/>
          <w:lang w:val="en-GB"/>
        </w:rPr>
      </w:pPr>
    </w:p>
    <w:p w:rsidR="00597E19" w:rsidRPr="006D712A" w:rsidRDefault="00597E19" w:rsidP="00597E19">
      <w:pPr>
        <w:pStyle w:val="SNFTITEL1"/>
        <w:rPr>
          <w:rFonts w:asciiTheme="minorHAnsi" w:hAnsiTheme="minorHAnsi"/>
        </w:rPr>
      </w:pPr>
      <w:r w:rsidRPr="006D712A">
        <w:rPr>
          <w:rFonts w:asciiTheme="minorHAnsi" w:hAnsiTheme="minorHAnsi"/>
        </w:rPr>
        <w:t>Research topic and objectives</w:t>
      </w:r>
    </w:p>
    <w:p w:rsidR="00597E19" w:rsidRPr="0084378E" w:rsidRDefault="00597E19" w:rsidP="00597E19">
      <w:pPr>
        <w:spacing w:after="120"/>
        <w:rPr>
          <w:rFonts w:cs="Times New Roman"/>
          <w:lang w:val="en-US"/>
        </w:rPr>
      </w:pPr>
      <w:r w:rsidRPr="0084378E">
        <w:rPr>
          <w:rFonts w:cs="Times New Roman"/>
          <w:lang w:val="en-US"/>
        </w:rPr>
        <w:t>The Swiss health</w:t>
      </w:r>
      <w:r>
        <w:rPr>
          <w:rFonts w:cs="Times New Roman"/>
          <w:lang w:val="en-US"/>
        </w:rPr>
        <w:t xml:space="preserve"> system is good, but expensive </w:t>
      </w:r>
      <w:r>
        <w:rPr>
          <w:rFonts w:cs="Times New Roman"/>
          <w:lang w:val="en-US"/>
        </w:rPr>
        <w:fldChar w:fldCharType="begin"/>
      </w:r>
      <w:r>
        <w:rPr>
          <w:rFonts w:cs="Times New Roman"/>
          <w:lang w:val="en-US"/>
        </w:rPr>
        <w:instrText xml:space="preserve"> ADDIN ZOTERO_ITEM CSL_CITATION {"citationID":"pzUyrNFY","properties":{"formattedCitation":"(OECD 2011)","plainCitation":"(OECD 2011)"},"citationItems":[{"id":208,"uris":["http://zotero.org/groups/254951/items/4KKHG89C"],"uri":["http://zotero.org/groups/254951/items/4KKHG89C"],"itemData":{"id":208,"type":"article-journal","title":"OECD Reviews of Health Systems: Switzerland 2011","container-title":"OECD Publishing","URL":"http://dx.doi.org/10.1787/9789264120914-en","shortTitle":"OECD Reviews of Health Systems: Switzerland 2011","author":[{"literal":"OECD"}],"issued":{"date-parts":[["2011"]]}}}],"schema":"https://github.com/citation-style-language/schema/raw/master/csl-citation.json"} </w:instrText>
      </w:r>
      <w:r>
        <w:rPr>
          <w:rFonts w:cs="Times New Roman"/>
          <w:lang w:val="en-US"/>
        </w:rPr>
        <w:fldChar w:fldCharType="separate"/>
      </w:r>
      <w:r w:rsidRPr="00073929">
        <w:rPr>
          <w:rFonts w:ascii="Calibri" w:hAnsi="Calibri"/>
          <w:lang w:val="en-GB"/>
        </w:rPr>
        <w:t>(OECD 2011)</w:t>
      </w:r>
      <w:r>
        <w:rPr>
          <w:rFonts w:cs="Times New Roman"/>
          <w:lang w:val="en-US"/>
        </w:rPr>
        <w:fldChar w:fldCharType="end"/>
      </w:r>
      <w:r>
        <w:rPr>
          <w:rFonts w:cs="Times New Roman"/>
          <w:lang w:val="en-US"/>
        </w:rPr>
        <w:t xml:space="preserve">. </w:t>
      </w:r>
      <w:r w:rsidRPr="0084378E">
        <w:rPr>
          <w:rFonts w:cs="Times New Roman"/>
          <w:lang w:val="en-US"/>
        </w:rPr>
        <w:t>Costs are rising, in the inpatient as well as in the outpatient sector. The discussion about how to curb rising costs without compromising quality of health care is controversial. This controversy pertains to the definition of an appropriate supply and to the design of adequate policy interventions.</w:t>
      </w:r>
    </w:p>
    <w:p w:rsidR="00597E19" w:rsidRPr="0084378E" w:rsidRDefault="00597E19" w:rsidP="00597E19">
      <w:pPr>
        <w:spacing w:after="120"/>
        <w:rPr>
          <w:rFonts w:cs="Times New Roman"/>
          <w:lang w:val="en-US"/>
        </w:rPr>
      </w:pPr>
      <w:r w:rsidRPr="0084378E">
        <w:rPr>
          <w:rFonts w:cs="Times New Roman"/>
          <w:lang w:val="en-US"/>
        </w:rPr>
        <w:t>The motivation for these interventions is rooted in the observation that physicians’ decisions in addition to purely medical reasons also include economic considerations. This observation is reflected in a broad literature on supply-induced demand (</w:t>
      </w:r>
      <w:r>
        <w:rPr>
          <w:rFonts w:cs="Times New Roman"/>
          <w:lang w:val="en-US"/>
        </w:rPr>
        <w:t xml:space="preserve">see e.g. </w:t>
      </w:r>
      <w:r w:rsidRPr="0084378E">
        <w:rPr>
          <w:rFonts w:cs="Times New Roman"/>
          <w:lang w:val="en-US"/>
        </w:rPr>
        <w:fldChar w:fldCharType="begin"/>
      </w:r>
      <w:r>
        <w:rPr>
          <w:rFonts w:cs="Times New Roman"/>
          <w:lang w:val="en-US"/>
        </w:rPr>
        <w:instrText xml:space="preserve"> ADDIN ZOTERO_ITEM CSL_CITATION {"citationID":"HRanDVCR","properties":{"formattedCitation":"(Breyer, Zweifel, and Kifmann 2013; Cutler et al. 2013; Skinner 2011)","plainCitation":"(Breyer, Zweifel, and Kifmann 2013; Cutler et al. 2013; Skinner 2011)"},"citationItems":[{"id":196,"uris":["http://zotero.org/groups/254951/items/4X6QNFRV"],"uri":["http://zotero.org/groups/254951/items/4X6QNFRV"],"itemData":{"id":196,"type":"book","title":"Gesundheitsökonomik","publisher":"Springer Gabler","publisher-place":"Berlin Heidelberg","edition":"6th","event-place":"Berlin Heidelberg","shortTitle":"Gesundheitsökonomik","collection-editor":[{"family":"Breyer","given":"F."},{"family":"Zweifel","given":"P."},{"family":"Kifmann","given":"M."}],"author":[{"family":"Breyer","given":"Friedrich"},{"family":"Zweifel","given":"Peter"},{"family":"Kifmann","given":"Mathias"}],"issued":{"date-parts":[["2013"]]}}},{"id":3317,"uris":["http://zotero.org/groups/254951/items/9HESK4DW"],"uri":["http://zotero.org/groups/254951/items/9HESK4DW"],"itemData":{"id":3317,"type":"report","title":"Physician beliefs and patient preferences: a new look at regional variation in health care spending","publisher":"National Bureau of Economic Research","source":"Google Scholar","URL":"http://www.nber.org/papers/w19320","shortTitle":"Physician beliefs and patient preferences","author":[{"family":"Cutler","given":"David"},{"family":"Skinner","given":"Jonathan"},{"family":"Stern","given":"Ariel Dora"},{"family":"Wennberg","given":"David"}],"issued":{"date-parts":[["2013"]]},"accessed":{"date-parts":[["2017",3,13]]}}},{"id":3323,"uris":["http://zotero.org/groups/254951/items/23824PTX"],"uri":["http://zotero.org/groups/254951/items/23824PTX"],"itemData":{"id":3323,"type":"chapter","title":"Causes and Consequences of Regional Variations in Health Care11This chapter was written for the Handbook of Health Economics (Vol. 2). My greatest debt is to John E. Wennberg for introducing me to the study of regional variations. I am also grateful to Handbook authors Elliott Fisher, Joseph Newhouse, Douglas Staiger, Amitabh Chandra, and especially Mark Pauly for insightful comments, and to the National Institute on Aging (PO1 AG19783) for financial support.","container-title":"Handbook of Health Economics","publisher":"Elsevier","page":"45-93","volume":"2","source":"CrossRef","URL":"http://linkinghub.elsevier.com/retrieve/pii/B9780444535924000025","ISBN":"978-0-444-53592-4","note":"DOI: 10.1016/B978-0-444-53592-4.00002-5","language":"en","author":[{"family":"Skinner","given":"Jonathan"}],"issued":{"date-parts":[["2011"]]},"accessed":{"date-parts":[["2017",3,13]]}}}],"schema":"https://github.com/citation-style-language/schema/raw/master/csl-citation.json"} </w:instrText>
      </w:r>
      <w:r w:rsidRPr="0084378E">
        <w:rPr>
          <w:rFonts w:cs="Times New Roman"/>
          <w:lang w:val="en-US"/>
        </w:rPr>
        <w:fldChar w:fldCharType="separate"/>
      </w:r>
      <w:proofErr w:type="spellStart"/>
      <w:r w:rsidRPr="00CC2286">
        <w:rPr>
          <w:rFonts w:ascii="Calibri" w:hAnsi="Calibri"/>
          <w:lang w:val="en-GB"/>
        </w:rPr>
        <w:t>Breyer</w:t>
      </w:r>
      <w:proofErr w:type="spellEnd"/>
      <w:r w:rsidRPr="00CC2286">
        <w:rPr>
          <w:rFonts w:ascii="Calibri" w:hAnsi="Calibri"/>
          <w:lang w:val="en-GB"/>
        </w:rPr>
        <w:t xml:space="preserve">, </w:t>
      </w:r>
      <w:proofErr w:type="spellStart"/>
      <w:r w:rsidRPr="00CC2286">
        <w:rPr>
          <w:rFonts w:ascii="Calibri" w:hAnsi="Calibri"/>
          <w:lang w:val="en-GB"/>
        </w:rPr>
        <w:t>Zweifel</w:t>
      </w:r>
      <w:proofErr w:type="spellEnd"/>
      <w:r w:rsidRPr="00CC2286">
        <w:rPr>
          <w:rFonts w:ascii="Calibri" w:hAnsi="Calibri"/>
          <w:lang w:val="en-GB"/>
        </w:rPr>
        <w:t xml:space="preserve">, and </w:t>
      </w:r>
      <w:proofErr w:type="spellStart"/>
      <w:r w:rsidRPr="00CC2286">
        <w:rPr>
          <w:rFonts w:ascii="Calibri" w:hAnsi="Calibri"/>
          <w:lang w:val="en-GB"/>
        </w:rPr>
        <w:t>Kifmann</w:t>
      </w:r>
      <w:proofErr w:type="spellEnd"/>
      <w:r w:rsidRPr="00CC2286">
        <w:rPr>
          <w:rFonts w:ascii="Calibri" w:hAnsi="Calibri"/>
          <w:lang w:val="en-GB"/>
        </w:rPr>
        <w:t xml:space="preserve"> 2013; Cutler et al. 2013; Skinner 2011)</w:t>
      </w:r>
      <w:r w:rsidRPr="0084378E">
        <w:rPr>
          <w:rFonts w:cs="Times New Roman"/>
          <w:lang w:val="en-US"/>
        </w:rPr>
        <w:fldChar w:fldCharType="end"/>
      </w:r>
      <w:r w:rsidRPr="0084378E">
        <w:rPr>
          <w:rFonts w:cs="Times New Roman"/>
          <w:lang w:val="en-US"/>
        </w:rPr>
        <w:t>. However, clear criteria for an appropriate supply with medical services are missing and cannot be derived from existing studies about health care utilization.</w:t>
      </w:r>
    </w:p>
    <w:p w:rsidR="00597E19" w:rsidRPr="0084378E" w:rsidRDefault="00597E19" w:rsidP="00597E19">
      <w:pPr>
        <w:spacing w:after="120"/>
        <w:rPr>
          <w:rFonts w:cs="Times New Roman"/>
          <w:lang w:val="en-US"/>
        </w:rPr>
      </w:pPr>
      <w:r w:rsidRPr="0084378E">
        <w:rPr>
          <w:rFonts w:cs="Times New Roman"/>
          <w:lang w:val="en-US"/>
        </w:rPr>
        <w:t>Any policy intervention has to rely on the analysis of health care demand and/or empirical evidence including monitoring, analysis and predictive models.  For this analysis</w:t>
      </w:r>
      <w:r>
        <w:rPr>
          <w:rFonts w:cs="Times New Roman"/>
          <w:lang w:val="en-US"/>
        </w:rPr>
        <w:t>,</w:t>
      </w:r>
      <w:r w:rsidRPr="0084378E">
        <w:rPr>
          <w:rFonts w:cs="Times New Roman"/>
          <w:lang w:val="en-US"/>
        </w:rPr>
        <w:t xml:space="preserve"> three types of methodological approaches are distinguished: supply projections or trend models, demand-based approaches and ne</w:t>
      </w:r>
      <w:r>
        <w:rPr>
          <w:rFonts w:cs="Times New Roman"/>
          <w:lang w:val="en-US"/>
        </w:rPr>
        <w:t xml:space="preserve">eds-based approaches </w:t>
      </w:r>
      <w:r>
        <w:rPr>
          <w:rFonts w:cs="Times New Roman"/>
          <w:lang w:val="en-US"/>
        </w:rPr>
        <w:fldChar w:fldCharType="begin"/>
      </w:r>
      <w:r>
        <w:rPr>
          <w:rFonts w:cs="Times New Roman"/>
          <w:lang w:val="en-US"/>
        </w:rPr>
        <w:instrText xml:space="preserve"> ADDIN ZOTERO_ITEM CSL_CITATION {"citationID":"vDEgx3MQ","properties":{"formattedCitation":"(SAMW 2016)","plainCitation":"(SAMW 2016)"},"citationItems":[{"id":3128,"uris":["http://zotero.org/groups/254951/items/D6UQ95WX"],"uri":["http://zotero.org/groups/254951/items/D6UQ95WX"],"itemData":{"id":3128,"type":"article-journal","title":"Steuerung der Anzahl und der Verteilung von Ärztinnen und Ärzten","source":"Google Scholar","URL":"http://www.samw.ch/dam/jcr:0f4d6172-5329-4e87-ad07-bdef13af4e49/SAMW_Comms_AerzteZahl_16_D_fWeb-kl.pdf","author":[{"family":"SAMW","given":""}],"accessed":{"date-parts":[["2016",12,6]]}}}],"schema":"https://github.com/citation-style-language/schema/raw/master/csl-citation.json"} </w:instrText>
      </w:r>
      <w:r>
        <w:rPr>
          <w:rFonts w:cs="Times New Roman"/>
          <w:lang w:val="en-US"/>
        </w:rPr>
        <w:fldChar w:fldCharType="separate"/>
      </w:r>
      <w:r w:rsidRPr="00073929">
        <w:rPr>
          <w:rFonts w:ascii="Calibri" w:hAnsi="Calibri"/>
          <w:lang w:val="en-GB"/>
        </w:rPr>
        <w:t>(SAMW 2016)</w:t>
      </w:r>
      <w:r>
        <w:rPr>
          <w:rFonts w:cs="Times New Roman"/>
          <w:lang w:val="en-US"/>
        </w:rPr>
        <w:fldChar w:fldCharType="end"/>
      </w:r>
      <w:r w:rsidRPr="0084378E">
        <w:rPr>
          <w:rFonts w:cs="Times New Roman"/>
          <w:lang w:val="en-US"/>
        </w:rPr>
        <w:t xml:space="preserve">. </w:t>
      </w:r>
      <w:bookmarkStart w:id="0" w:name="_GoBack"/>
      <w:bookmarkEnd w:id="0"/>
      <w:r w:rsidRPr="0084378E">
        <w:rPr>
          <w:rFonts w:cs="Times New Roman"/>
          <w:lang w:val="en-US"/>
        </w:rPr>
        <w:t>Demand-based approaches include the analysis of the utilization of medical services, while nee</w:t>
      </w:r>
      <w:r>
        <w:rPr>
          <w:rFonts w:cs="Times New Roman"/>
          <w:lang w:val="en-US"/>
        </w:rPr>
        <w:t xml:space="preserve">ds-based approaches also changes </w:t>
      </w:r>
      <w:r w:rsidRPr="0084378E">
        <w:rPr>
          <w:rFonts w:cs="Times New Roman"/>
          <w:lang w:val="en-US"/>
        </w:rPr>
        <w:t xml:space="preserve">with regard to prevalence and incidence of </w:t>
      </w:r>
      <w:r>
        <w:rPr>
          <w:rFonts w:cs="Times New Roman"/>
          <w:lang w:val="en-US"/>
        </w:rPr>
        <w:t xml:space="preserve">diseases and </w:t>
      </w:r>
      <w:r w:rsidRPr="0084378E">
        <w:rPr>
          <w:rFonts w:cs="Times New Roman"/>
          <w:lang w:val="en-US"/>
        </w:rPr>
        <w:t xml:space="preserve">risk factors. However, needs-based models are deemed to be complex and challenging. </w:t>
      </w:r>
      <w:r>
        <w:rPr>
          <w:rFonts w:cs="Times New Roman"/>
          <w:lang w:val="en-US"/>
        </w:rPr>
        <w:t>For this reason only few attempts have been made to date to adopt this approach.</w:t>
      </w:r>
    </w:p>
    <w:p w:rsidR="00597E19" w:rsidRDefault="00597E19" w:rsidP="00597E19">
      <w:pPr>
        <w:rPr>
          <w:lang w:val="en-GB"/>
        </w:rPr>
      </w:pPr>
      <w:r w:rsidRPr="0084378E">
        <w:rPr>
          <w:lang w:val="en-GB"/>
        </w:rPr>
        <w:t>The objectiv</w:t>
      </w:r>
      <w:r>
        <w:rPr>
          <w:lang w:val="en-GB"/>
        </w:rPr>
        <w:t xml:space="preserve">e of this study is to provide a needs-based analysis of a relevant health problem in Switzerland. It is envisaged to develop a prototype </w:t>
      </w:r>
      <w:r w:rsidRPr="0084378E">
        <w:rPr>
          <w:lang w:val="en-GB"/>
        </w:rPr>
        <w:t xml:space="preserve">simulation model of the burden of disease of coronary heart disease (Acute Coronary Syndrome ACS) in a specific population and as a consequence the amount of medical services delivered for diagnosis and treatment of this disease. For this purpose a </w:t>
      </w:r>
      <w:r w:rsidRPr="0084378E">
        <w:rPr>
          <w:rFonts w:cs="Times New Roman"/>
          <w:lang w:val="en-US"/>
        </w:rPr>
        <w:t>patient flow perspective</w:t>
      </w:r>
      <w:r w:rsidRPr="0084378E">
        <w:rPr>
          <w:lang w:val="en-GB"/>
        </w:rPr>
        <w:t xml:space="preserve"> is adopted following the stages from the onset of symptoms and diagnostic interventions to treatment and follow-up.</w:t>
      </w:r>
      <w:r>
        <w:rPr>
          <w:lang w:val="en-GB"/>
        </w:rPr>
        <w:t xml:space="preserve"> The time horizon of the model is 2000 – 2030.</w:t>
      </w:r>
    </w:p>
    <w:p w:rsidR="00597E19" w:rsidRDefault="00597E19" w:rsidP="00597E19">
      <w:pPr>
        <w:spacing w:after="120"/>
        <w:rPr>
          <w:rFonts w:cs="Times New Roman"/>
          <w:lang w:val="en-US"/>
        </w:rPr>
      </w:pPr>
      <w:r w:rsidRPr="0084378E">
        <w:rPr>
          <w:rFonts w:cs="Times New Roman"/>
          <w:lang w:val="en-US"/>
        </w:rPr>
        <w:t xml:space="preserve">The exemplary case of coronary heart disease is chosen for </w:t>
      </w:r>
      <w:r>
        <w:rPr>
          <w:rFonts w:cs="Times New Roman"/>
          <w:lang w:val="en-US"/>
        </w:rPr>
        <w:t>two</w:t>
      </w:r>
      <w:r w:rsidRPr="0084378E">
        <w:rPr>
          <w:rFonts w:cs="Times New Roman"/>
          <w:lang w:val="en-US"/>
        </w:rPr>
        <w:t xml:space="preserve"> reasons: first, cardiovascular diseases are the leading causes of morbidity and mortality in Switzerland (</w:t>
      </w:r>
      <w:r>
        <w:rPr>
          <w:rFonts w:cs="Times New Roman"/>
          <w:lang w:val="en-US"/>
        </w:rPr>
        <w:fldChar w:fldCharType="begin"/>
      </w:r>
      <w:r>
        <w:rPr>
          <w:rFonts w:cs="Times New Roman"/>
          <w:lang w:val="en-US"/>
        </w:rPr>
        <w:instrText xml:space="preserve"> ADDIN ZOTERO_ITEM CSL_CITATION {"citationID":"pNEWpMqQ","properties":{"formattedCitation":"(Federal Statistical Office 2017)","plainCitation":"(Federal Statistical Office 2017)"},"citationItems":[{"id":3342,"uris":["http://zotero.org/groups/254951/items/597BQDVN"],"uri":["http://zotero.org/groups/254951/items/597BQDVN"],"itemData":{"id":3342,"type":"webpage","title":"Causes of death in 2014","URL":"https://www.bfs.admin.ch/bfs/de/home/statistiken/gesundheit.assetdetail.40503.html","author":[{"family":"Federal Statistical Office","given":""}],"accessed":{"date-parts":[["2017",3,13]]}}}],"schema":"https://github.com/citation-style-language/schema/raw/master/csl-citation.json"} </w:instrText>
      </w:r>
      <w:r>
        <w:rPr>
          <w:rFonts w:cs="Times New Roman"/>
          <w:lang w:val="en-US"/>
        </w:rPr>
        <w:fldChar w:fldCharType="separate"/>
      </w:r>
      <w:r w:rsidRPr="00DB18E2">
        <w:rPr>
          <w:rFonts w:ascii="Calibri" w:hAnsi="Calibri"/>
          <w:lang w:val="en-GB"/>
        </w:rPr>
        <w:t>Federal Statistical Office 2017)</w:t>
      </w:r>
      <w:r>
        <w:rPr>
          <w:rFonts w:cs="Times New Roman"/>
          <w:lang w:val="en-US"/>
        </w:rPr>
        <w:fldChar w:fldCharType="end"/>
      </w:r>
      <w:r w:rsidRPr="0084378E">
        <w:rPr>
          <w:rFonts w:cs="Times New Roman"/>
          <w:lang w:val="en-US"/>
        </w:rPr>
        <w:t>; second, only a limited number of different medical specializations are invol</w:t>
      </w:r>
      <w:r>
        <w:rPr>
          <w:rFonts w:cs="Times New Roman"/>
          <w:lang w:val="en-US"/>
        </w:rPr>
        <w:t>ved in diagnosis and treatment. As a consequence the patient flow and the model structure are relatively simple and transparent. Moreover, a</w:t>
      </w:r>
      <w:r w:rsidRPr="001E1B49">
        <w:rPr>
          <w:rFonts w:cs="Times New Roman"/>
          <w:lang w:val="en-US"/>
        </w:rPr>
        <w:t xml:space="preserve"> number of Guidelines have been issued in recent years by the European Society of Cardiology (ESC) as well as by other societies and organizations, aiming at assisting physicians in selecting appropriate management strategies for an individual patient.</w:t>
      </w:r>
    </w:p>
    <w:p w:rsidR="00597E19" w:rsidRPr="0084378E" w:rsidRDefault="00597E19" w:rsidP="00597E19">
      <w:pPr>
        <w:rPr>
          <w:lang w:val="en-GB"/>
        </w:rPr>
      </w:pPr>
      <w:r>
        <w:rPr>
          <w:lang w:val="en-GB"/>
        </w:rPr>
        <w:t xml:space="preserve">It is envisaged to study the effect of medical practice variation on the amount of medical services. In particular, it is intended to analyse what happens if a potential overuse of certain diagnostic and/or therapeutic interventions is avoided. A </w:t>
      </w:r>
      <w:r w:rsidRPr="001E1B49">
        <w:rPr>
          <w:rFonts w:cs="Times New Roman"/>
          <w:lang w:val="en-US"/>
        </w:rPr>
        <w:t xml:space="preserve">recent study by </w:t>
      </w:r>
      <w:r w:rsidRPr="001E1B49">
        <w:rPr>
          <w:rFonts w:cs="Times New Roman"/>
          <w:lang w:val="en-US"/>
        </w:rPr>
        <w:fldChar w:fldCharType="begin"/>
      </w:r>
      <w:r w:rsidRPr="001E1B49">
        <w:rPr>
          <w:rFonts w:cs="Times New Roman"/>
          <w:lang w:val="en-US"/>
        </w:rPr>
        <w:instrText xml:space="preserve"> ADDIN ZOTERO_ITEM CSL_CITATION {"citationID":"27m65a7fqo","properties":{"formattedCitation":"{\\rtf (Chmiel u.\\uc0\\u160{}a., 2015)}","plainCitation":"(Chmiel u. a., 2015)","dontUpdate":true},"citationItems":[{"id":383,"uris":["http://zotero.org/groups/254951/items/WGB8QRVP"],"uri":["http://zotero.org/groups/254951/items/WGB8QRVP"],"itemData":{"id":383,"type":"article-journal","title":"Appropriateness of diagnostic coronary angiography as a measure of cardiac ischemia testing in non-emergency patients-a retrospective cross-sectional analysis.","container-title":"PloS one","volume":"10","issue":"2","source":"Google Scholar","URL":"http://dx.plos.org/10.1371/journal.pone.0117172","author":[{"family":"Chmiel","given":"Corinne"},{"family":"Reich","given":"Oliver"},{"family":"Signorell","given":"Andri"},{"family":"Tandjung","given":"Ryan"},{"family":"Rosemann","given":"Thomas"},{"family":"Senn","given":"Oliver"}],"issued":{"date-parts":[["2015"]]},"accessed":{"date-parts":[["2015",6,8]]}}}],"schema":"https://github.com/citation-style-language/schema/raw/master/csl-citation.json"} </w:instrText>
      </w:r>
      <w:r w:rsidRPr="001E1B49">
        <w:rPr>
          <w:rFonts w:cs="Times New Roman"/>
          <w:lang w:val="en-US"/>
        </w:rPr>
        <w:fldChar w:fldCharType="separate"/>
      </w:r>
      <w:r w:rsidRPr="001E1B49">
        <w:rPr>
          <w:rFonts w:cs="Times New Roman"/>
          <w:lang w:val="en-US"/>
        </w:rPr>
        <w:t>(Chmiel et al, 2015)</w:t>
      </w:r>
      <w:r w:rsidRPr="001E1B49">
        <w:rPr>
          <w:rFonts w:cs="Times New Roman"/>
          <w:lang w:val="en-US"/>
        </w:rPr>
        <w:fldChar w:fldCharType="end"/>
      </w:r>
      <w:r w:rsidRPr="001E1B49">
        <w:rPr>
          <w:rFonts w:cs="Times New Roman"/>
          <w:lang w:val="en-US"/>
        </w:rPr>
        <w:t xml:space="preserve"> found evidence of insufficient guideline adherence and a potential overuse of possibly harmful and inappropriate diagnostic interventions</w:t>
      </w:r>
      <w:r w:rsidRPr="001E1B49" w:rsidDel="00594DF3">
        <w:rPr>
          <w:rFonts w:cs="Times New Roman"/>
          <w:lang w:val="en-US"/>
        </w:rPr>
        <w:t xml:space="preserve"> </w:t>
      </w:r>
      <w:r w:rsidRPr="001E1B49">
        <w:rPr>
          <w:rFonts w:cs="Times New Roman"/>
          <w:lang w:val="en-US"/>
        </w:rPr>
        <w:t xml:space="preserve">in non-emergency situations. These findings suggest that practice variation regarding diagnostic and therapeutic interventions, in particular in non-emergency cases and in the </w:t>
      </w:r>
      <w:r w:rsidRPr="001E1B49">
        <w:rPr>
          <w:rFonts w:cs="Times New Roman"/>
          <w:lang w:val="en-US"/>
        </w:rPr>
        <w:lastRenderedPageBreak/>
        <w:t>follow-up of an acute situation, play a major role for the amount of medical services that are provided.</w:t>
      </w:r>
    </w:p>
    <w:p w:rsidR="00597E19" w:rsidRDefault="00597E19" w:rsidP="00597E19">
      <w:pPr>
        <w:spacing w:after="120"/>
        <w:rPr>
          <w:rFonts w:cs="Times New Roman"/>
          <w:lang w:val="en-US"/>
        </w:rPr>
      </w:pPr>
      <w:r>
        <w:rPr>
          <w:rFonts w:cs="Times New Roman"/>
          <w:lang w:val="en-US"/>
        </w:rPr>
        <w:t xml:space="preserve">This model does not address the interrelations between supply and demand of medical services and is focused purely on the demand side. In future, however, it is intended to include the supply side endogenously in the model. </w:t>
      </w:r>
    </w:p>
    <w:p w:rsidR="00597E19" w:rsidRDefault="00597E19" w:rsidP="00597E19">
      <w:pPr>
        <w:spacing w:after="120"/>
        <w:rPr>
          <w:rFonts w:cs="Times New Roman"/>
          <w:lang w:val="en-US"/>
        </w:rPr>
      </w:pPr>
    </w:p>
    <w:p w:rsidR="00597E19" w:rsidRPr="006D712A" w:rsidRDefault="00597E19" w:rsidP="00597E19">
      <w:pPr>
        <w:pStyle w:val="SNFTITEL1"/>
        <w:rPr>
          <w:rFonts w:asciiTheme="minorHAnsi" w:hAnsiTheme="minorHAnsi"/>
        </w:rPr>
      </w:pPr>
      <w:r w:rsidRPr="006D712A">
        <w:rPr>
          <w:rFonts w:asciiTheme="minorHAnsi" w:hAnsiTheme="minorHAnsi"/>
        </w:rPr>
        <w:t>Research questions</w:t>
      </w:r>
    </w:p>
    <w:p w:rsidR="00597E19" w:rsidRPr="006D712A" w:rsidRDefault="00597E19" w:rsidP="00597E19">
      <w:pPr>
        <w:tabs>
          <w:tab w:val="num" w:pos="720"/>
        </w:tabs>
        <w:rPr>
          <w:lang w:val="en-GB"/>
        </w:rPr>
      </w:pPr>
      <w:r w:rsidRPr="006D712A">
        <w:rPr>
          <w:lang w:val="en-GB"/>
        </w:rPr>
        <w:t xml:space="preserve">Against this background three </w:t>
      </w:r>
      <w:r>
        <w:rPr>
          <w:lang w:val="en-GB"/>
        </w:rPr>
        <w:t>research questions are formulated:</w:t>
      </w:r>
    </w:p>
    <w:p w:rsidR="00597E19" w:rsidRPr="006D712A" w:rsidRDefault="00597E19" w:rsidP="00597E19">
      <w:pPr>
        <w:numPr>
          <w:ilvl w:val="0"/>
          <w:numId w:val="2"/>
        </w:numPr>
        <w:tabs>
          <w:tab w:val="num" w:pos="720"/>
        </w:tabs>
        <w:rPr>
          <w:lang w:val="en-GB"/>
        </w:rPr>
      </w:pPr>
      <w:r w:rsidRPr="006D712A">
        <w:rPr>
          <w:lang w:val="en-GB"/>
        </w:rPr>
        <w:t xml:space="preserve">What is the amount of medical services in the Swiss population at different stages along the treatment chain, based on current evidence-based medical practice? </w:t>
      </w:r>
    </w:p>
    <w:p w:rsidR="00597E19" w:rsidRPr="006D712A" w:rsidRDefault="00597E19" w:rsidP="00597E19">
      <w:pPr>
        <w:numPr>
          <w:ilvl w:val="0"/>
          <w:numId w:val="2"/>
        </w:numPr>
        <w:tabs>
          <w:tab w:val="num" w:pos="720"/>
        </w:tabs>
        <w:rPr>
          <w:lang w:val="en-GB"/>
        </w:rPr>
      </w:pPr>
      <w:r w:rsidRPr="006D712A">
        <w:rPr>
          <w:lang w:val="en-US"/>
        </w:rPr>
        <w:t xml:space="preserve">Which changes in the amount of medical services are to be expected as a consequence of a variation in population, risk factors and medical practice? </w:t>
      </w:r>
    </w:p>
    <w:p w:rsidR="00597E19" w:rsidRPr="006D712A" w:rsidRDefault="00597E19" w:rsidP="00597E19">
      <w:pPr>
        <w:numPr>
          <w:ilvl w:val="0"/>
          <w:numId w:val="2"/>
        </w:numPr>
        <w:tabs>
          <w:tab w:val="num" w:pos="720"/>
        </w:tabs>
        <w:rPr>
          <w:lang w:val="en-GB"/>
        </w:rPr>
      </w:pPr>
      <w:r w:rsidRPr="006D712A">
        <w:rPr>
          <w:lang w:val="en-US"/>
        </w:rPr>
        <w:t>What contribution can such a simulation model provide for health care planning and the discussion of appropriate medical care?</w:t>
      </w:r>
    </w:p>
    <w:p w:rsidR="00597E19" w:rsidRPr="00896C77" w:rsidRDefault="00597E19" w:rsidP="00597E19">
      <w:pPr>
        <w:pStyle w:val="SNFTITEL1"/>
        <w:rPr>
          <w:rFonts w:asciiTheme="minorHAnsi" w:hAnsiTheme="minorHAnsi"/>
        </w:rPr>
      </w:pPr>
      <w:r w:rsidRPr="00A32A7A">
        <w:rPr>
          <w:rFonts w:asciiTheme="minorHAnsi" w:hAnsiTheme="minorHAnsi"/>
        </w:rPr>
        <w:t xml:space="preserve">Model </w:t>
      </w:r>
      <w:r>
        <w:rPr>
          <w:rFonts w:asciiTheme="minorHAnsi" w:hAnsiTheme="minorHAnsi"/>
        </w:rPr>
        <w:t xml:space="preserve">description </w:t>
      </w:r>
    </w:p>
    <w:p w:rsidR="00597E19" w:rsidRPr="006D712A" w:rsidRDefault="00597E19" w:rsidP="00597E19">
      <w:pPr>
        <w:rPr>
          <w:rFonts w:cs="Times New Roman"/>
          <w:lang w:val="en-GB"/>
        </w:rPr>
      </w:pPr>
      <w:r w:rsidRPr="006D712A">
        <w:rPr>
          <w:rFonts w:cs="Times New Roman"/>
          <w:lang w:val="en-GB"/>
        </w:rPr>
        <w:t xml:space="preserve">The model </w:t>
      </w:r>
      <w:r>
        <w:rPr>
          <w:rFonts w:cs="Times New Roman"/>
          <w:lang w:val="en-GB"/>
        </w:rPr>
        <w:t xml:space="preserve">describes a potential transition </w:t>
      </w:r>
      <w:r w:rsidRPr="006D712A">
        <w:rPr>
          <w:rFonts w:cs="Times New Roman"/>
          <w:lang w:val="en-GB"/>
        </w:rPr>
        <w:t>from a state without diagnosed ACS to a state with diagnosed ACS</w:t>
      </w:r>
      <w:r>
        <w:rPr>
          <w:rFonts w:cs="Times New Roman"/>
          <w:lang w:val="en-GB"/>
        </w:rPr>
        <w:t>. As a consequence the model</w:t>
      </w:r>
      <w:r w:rsidRPr="006D712A">
        <w:rPr>
          <w:rFonts w:cs="Times New Roman"/>
          <w:lang w:val="en-GB"/>
        </w:rPr>
        <w:t xml:space="preserve"> consists of two parts which refer a) </w:t>
      </w:r>
      <w:r>
        <w:rPr>
          <w:rFonts w:cs="Times New Roman"/>
          <w:lang w:val="en-GB"/>
        </w:rPr>
        <w:t xml:space="preserve">to the onset of symptoms, including </w:t>
      </w:r>
      <w:r w:rsidRPr="006D712A">
        <w:rPr>
          <w:rFonts w:cs="Times New Roman"/>
          <w:lang w:val="en-GB"/>
        </w:rPr>
        <w:t xml:space="preserve">diagnosis and treatment of ACS and b) to </w:t>
      </w:r>
      <w:r>
        <w:rPr>
          <w:rFonts w:cs="Times New Roman"/>
          <w:lang w:val="en-GB"/>
        </w:rPr>
        <w:t xml:space="preserve">a situation with a chronic coronary heart disease with </w:t>
      </w:r>
      <w:r w:rsidRPr="006D712A">
        <w:rPr>
          <w:rFonts w:cs="Times New Roman"/>
          <w:lang w:val="en-GB"/>
        </w:rPr>
        <w:t>follow-up</w:t>
      </w:r>
      <w:r>
        <w:rPr>
          <w:rFonts w:cs="Times New Roman"/>
          <w:lang w:val="en-GB"/>
        </w:rPr>
        <w:t xml:space="preserve"> treatment and potential recurrent events (</w:t>
      </w:r>
      <w:r>
        <w:rPr>
          <w:rFonts w:cs="Times New Roman"/>
          <w:lang w:val="en-GB"/>
        </w:rPr>
        <w:fldChar w:fldCharType="begin"/>
      </w:r>
      <w:r>
        <w:rPr>
          <w:rFonts w:cs="Times New Roman"/>
          <w:lang w:val="en-GB"/>
        </w:rPr>
        <w:instrText xml:space="preserve"> REF _Ref477182402 \h </w:instrText>
      </w:r>
      <w:r>
        <w:rPr>
          <w:rFonts w:cs="Times New Roman"/>
          <w:lang w:val="en-GB"/>
        </w:rPr>
      </w:r>
      <w:r>
        <w:rPr>
          <w:rFonts w:cs="Times New Roman"/>
          <w:lang w:val="en-GB"/>
        </w:rPr>
        <w:fldChar w:fldCharType="separate"/>
      </w:r>
      <w:r w:rsidRPr="00130CF0">
        <w:rPr>
          <w:lang w:val="en-GB"/>
        </w:rPr>
        <w:t xml:space="preserve">Figure </w:t>
      </w:r>
      <w:r w:rsidRPr="00130CF0">
        <w:rPr>
          <w:noProof/>
          <w:lang w:val="en-GB"/>
        </w:rPr>
        <w:t>1</w:t>
      </w:r>
      <w:r>
        <w:rPr>
          <w:rFonts w:cs="Times New Roman"/>
          <w:lang w:val="en-GB"/>
        </w:rPr>
        <w:fldChar w:fldCharType="end"/>
      </w:r>
      <w:r>
        <w:rPr>
          <w:rFonts w:cs="Times New Roman"/>
          <w:lang w:val="en-GB"/>
        </w:rPr>
        <w:t>).</w:t>
      </w:r>
    </w:p>
    <w:p w:rsidR="00597E19" w:rsidRDefault="00597E19" w:rsidP="00597E19">
      <w:pPr>
        <w:rPr>
          <w:rFonts w:cs="Times New Roman"/>
          <w:lang w:val="en-GB"/>
        </w:rPr>
      </w:pPr>
      <w:r w:rsidRPr="006D712A">
        <w:rPr>
          <w:rFonts w:cs="Times New Roman"/>
          <w:lang w:val="en-GB"/>
        </w:rPr>
        <w:t xml:space="preserve">People without diagnosed ACS may present with symptoms of ACS, undergo diagnostic interventions and are potentially diagnosed with ACS. </w:t>
      </w:r>
      <w:r w:rsidRPr="002708E3">
        <w:rPr>
          <w:rFonts w:cs="Times New Roman"/>
          <w:lang w:val="en-GB"/>
        </w:rPr>
        <w:t xml:space="preserve">The diagnostic interventions consist of three potential stages: anamnesis by a general practitioner (GP), non-invasive diagnosis (cardiologist and/or general practitioner) or diagnosis in a hospital (invasive, coronary angiography). The result of the diagnosis in each step may be positive (with admission to medical and/or surgical treatment), uncertain (with referral to further diagnostic intervention) or negative (flow back to population). Diagnostic interventions start when a person presents with symptoms of ACS (chest pain). </w:t>
      </w:r>
      <w:r>
        <w:rPr>
          <w:rFonts w:cs="Times New Roman"/>
          <w:lang w:val="en-GB"/>
        </w:rPr>
        <w:t xml:space="preserve">Patients with acute myocardial infarction (MI) </w:t>
      </w:r>
      <w:r w:rsidRPr="006D712A">
        <w:rPr>
          <w:rFonts w:cs="Times New Roman"/>
          <w:lang w:val="en-GB"/>
        </w:rPr>
        <w:t>presenting at an emergency department are treated separately</w:t>
      </w:r>
      <w:r>
        <w:rPr>
          <w:rFonts w:cs="Times New Roman"/>
          <w:lang w:val="en-GB"/>
        </w:rPr>
        <w:t>.</w:t>
      </w:r>
    </w:p>
    <w:p w:rsidR="00597E19" w:rsidRDefault="00597E19" w:rsidP="00597E19">
      <w:pPr>
        <w:rPr>
          <w:rFonts w:cs="Times New Roman"/>
          <w:lang w:val="en-GB"/>
        </w:rPr>
      </w:pPr>
      <w:r>
        <w:rPr>
          <w:rFonts w:cs="Times New Roman"/>
          <w:lang w:val="en-GB"/>
        </w:rPr>
        <w:t>Diagnostic as well as therapeutic interventions depend on the risk category of the patients. These risk categories include non-modifiable aspects such as gender and age, and modifiable aspects such as hypertension and smoking (</w:t>
      </w:r>
      <w:r w:rsidRPr="00C54EE7">
        <w:rPr>
          <w:rFonts w:cs="Times New Roman"/>
          <w:highlight w:val="yellow"/>
          <w:lang w:val="en-GB"/>
        </w:rPr>
        <w:t>reference</w:t>
      </w:r>
      <w:r>
        <w:rPr>
          <w:rFonts w:cs="Times New Roman"/>
          <w:lang w:val="en-GB"/>
        </w:rPr>
        <w:t>). Score risk charts to calculate the individual cardiovascular risk are well-established (e.g. ESC score risk chart)</w:t>
      </w:r>
      <w:r>
        <w:rPr>
          <w:rStyle w:val="Funotenzeichen"/>
          <w:rFonts w:cs="Times New Roman"/>
          <w:lang w:val="en-GB"/>
        </w:rPr>
        <w:footnoteReference w:id="1"/>
      </w:r>
      <w:r>
        <w:rPr>
          <w:rFonts w:cs="Times New Roman"/>
          <w:lang w:val="en-GB"/>
        </w:rPr>
        <w:t xml:space="preserve"> and have also been adapted to the Swiss population (AGLA score risk chart)</w:t>
      </w:r>
      <w:r>
        <w:rPr>
          <w:rStyle w:val="Funotenzeichen"/>
          <w:rFonts w:cs="Times New Roman"/>
          <w:lang w:val="en-GB"/>
        </w:rPr>
        <w:footnoteReference w:id="2"/>
      </w:r>
      <w:r>
        <w:rPr>
          <w:rFonts w:cs="Times New Roman"/>
          <w:lang w:val="en-GB"/>
        </w:rPr>
        <w:t>. For our simulation model two risk categories will be distinguished, which correspond to a low (normal) risk level and a high risk level. Risk is calculated using gender, age and hypertension. Changes in the aforementioned risk factors due to aging as well as due to primary prevention are taken into consideration. Prevention is considered as a variable degree of adherence to hypertension control programmes.</w:t>
      </w:r>
    </w:p>
    <w:p w:rsidR="00597E19" w:rsidRDefault="00597E19" w:rsidP="00597E19">
      <w:pPr>
        <w:rPr>
          <w:rFonts w:ascii="Calibri" w:hAnsi="Calibri" w:cs="Times New Roman"/>
          <w:lang w:val="en-GB"/>
        </w:rPr>
        <w:sectPr w:rsidR="00597E19" w:rsidSect="006C2994">
          <w:pgSz w:w="11906" w:h="16838"/>
          <w:pgMar w:top="1417" w:right="1417" w:bottom="1134" w:left="1417" w:header="708" w:footer="708" w:gutter="0"/>
          <w:cols w:space="708"/>
          <w:docGrid w:linePitch="360"/>
        </w:sectPr>
      </w:pPr>
      <w:r>
        <w:rPr>
          <w:rFonts w:cs="Times New Roman"/>
          <w:lang w:val="en-GB"/>
        </w:rPr>
        <w:lastRenderedPageBreak/>
        <w:t xml:space="preserve">Population data are available for 1900 to 2030 (Swiss population reference scenarios), including detailed age- and gender-specific mortality rates for each annual </w:t>
      </w:r>
      <w:r w:rsidRPr="00D12BEC">
        <w:rPr>
          <w:rFonts w:cs="Times New Roman"/>
          <w:lang w:val="en-GB"/>
        </w:rPr>
        <w:t>cohort</w:t>
      </w:r>
      <w:r w:rsidRPr="00D12BEC">
        <w:rPr>
          <w:rStyle w:val="Funotenzeichen"/>
          <w:rFonts w:cs="Times New Roman"/>
          <w:lang w:val="en-GB"/>
        </w:rPr>
        <w:footnoteReference w:id="3"/>
      </w:r>
      <w:r w:rsidRPr="00D12BEC">
        <w:rPr>
          <w:rFonts w:cs="Times New Roman"/>
          <w:lang w:val="en-GB"/>
        </w:rPr>
        <w:t>.</w:t>
      </w:r>
      <w:r>
        <w:rPr>
          <w:rFonts w:cs="Times New Roman"/>
          <w:lang w:val="en-GB"/>
        </w:rPr>
        <w:t xml:space="preserve"> Prevalence of hypertension (age, gender) for the Swiss population is documented in by the Swiss Health </w:t>
      </w:r>
      <w:r w:rsidRPr="00D12BEC">
        <w:rPr>
          <w:rFonts w:cs="Times New Roman"/>
          <w:lang w:val="en-GB"/>
        </w:rPr>
        <w:t>Observatory</w:t>
      </w:r>
      <w:r w:rsidRPr="00D12BEC">
        <w:rPr>
          <w:rStyle w:val="Funotenzeichen"/>
          <w:rFonts w:cs="Times New Roman"/>
          <w:lang w:val="en-GB"/>
        </w:rPr>
        <w:footnoteReference w:id="4"/>
      </w:r>
      <w:r w:rsidRPr="00D12BEC">
        <w:rPr>
          <w:rFonts w:cs="Times New Roman"/>
          <w:lang w:val="en-GB"/>
        </w:rPr>
        <w:t>,</w:t>
      </w:r>
      <w:r>
        <w:rPr>
          <w:rFonts w:cs="Times New Roman"/>
          <w:lang w:val="en-GB"/>
        </w:rPr>
        <w:t xml:space="preserve"> while for the incidence of hypertension data from Canada will be used </w:t>
      </w:r>
      <w:r>
        <w:rPr>
          <w:rFonts w:cs="Times New Roman"/>
          <w:lang w:val="en-GB"/>
        </w:rPr>
        <w:fldChar w:fldCharType="begin"/>
      </w:r>
      <w:r>
        <w:rPr>
          <w:rFonts w:cs="Times New Roman"/>
          <w:lang w:val="en-GB"/>
        </w:rPr>
        <w:instrText xml:space="preserve"> ADDIN ZOTERO_ITEM CSL_CITATION {"citationID":"awydgN3A","properties":{"formattedCitation":"(Robitaille et al. 2012)","plainCitation":"(Robitaille et al. 2012)"},"citationItems":[{"id":2892,"uris":["http://zotero.org/groups/254951/items/3RVHXFC9"],"uri":["http://zotero.org/groups/254951/items/3RVHXFC9"],"itemData":{"id":2892,"type":"article-journal","title":"Diagnosed hypertension in Canada: incidence, prevalence and associated mortality","container-title":"Canadian Medical Association Journal","page":"E49–E56","volume":"184","issue":"1","source":"Google Scholar","shortTitle":"Diagnosed hypertension in Canada","author":[{"family":"Robitaille","given":"Cynthia"},{"family":"Dai","given":"Sulan"},{"family":"Waters","given":"Chris"},{"family":"Loukine","given":"Lidia"},{"family":"Bancej","given":"Christina"},{"family":"Quach","given":"Susan"},{"family":"Ellison","given":"Joellyn"},{"family":"Campbell","given":"Norman"},{"family":"Tu","given":"Karen"},{"family":"Reimer","given":"Kim"},{"literal":"others"}],"issued":{"date-parts":[["2012"]]}}}],"schema":"https://github.com/citation-style-language/schema/raw/master/csl-citation.json"} </w:instrText>
      </w:r>
      <w:r>
        <w:rPr>
          <w:rFonts w:cs="Times New Roman"/>
          <w:lang w:val="en-GB"/>
        </w:rPr>
        <w:fldChar w:fldCharType="separate"/>
      </w:r>
      <w:r w:rsidRPr="00D12BEC">
        <w:rPr>
          <w:rFonts w:ascii="Calibri" w:hAnsi="Calibri"/>
          <w:lang w:val="en-GB"/>
        </w:rPr>
        <w:t>(Robitaille et al. 2012)</w:t>
      </w:r>
      <w:r>
        <w:rPr>
          <w:rFonts w:cs="Times New Roman"/>
          <w:lang w:val="en-GB"/>
        </w:rPr>
        <w:fldChar w:fldCharType="end"/>
      </w:r>
      <w:r>
        <w:rPr>
          <w:rFonts w:cs="Times New Roman"/>
          <w:lang w:val="en-GB"/>
        </w:rPr>
        <w:t xml:space="preserve">. Data for the onset of chest pain symptoms are available in </w:t>
      </w:r>
      <w:r>
        <w:rPr>
          <w:rFonts w:ascii="Calibri" w:hAnsi="Calibri" w:cs="Times New Roman"/>
          <w:lang w:val="en-GB"/>
        </w:rPr>
        <w:fldChar w:fldCharType="begin"/>
      </w:r>
      <w:r>
        <w:rPr>
          <w:rFonts w:ascii="Calibri" w:hAnsi="Calibri" w:cs="Times New Roman"/>
          <w:lang w:val="en-GB"/>
        </w:rPr>
        <w:instrText xml:space="preserve"> ADDIN ZOTERO_ITEM CSL_CITATION {"citationID":"avBzAR3C","properties":{"formattedCitation":"(Ruigomez 2005)","plainCitation":"(Ruigomez 2005)"},"citationItems":[{"id":523,"uris":["http://zotero.org/groups/254951/items/U7BWHPEZ"],"uri":["http://zotero.org/groups/254951/items/U7BWHPEZ"],"itemData":{"id":523,"type":"article-journal","title":"Chest pain in general practice: incidence, comorbidity and mortality","container-title":"Family Practice","page":"167-174","volume":"23","issue":"2","source":"CrossRef","DOI":"10.1093/fampra/cmi124","ISSN":"0263-2136, 1460-2229","shortTitle":"Chest pain in general practice","language":"en","author":[{"family":"Ruigomez","given":"A."}],"issued":{"date-parts":[["2005",10,21]]}}}],"schema":"https://github.com/citation-style-language/schema/raw/master/csl-citation.json"} </w:instrText>
      </w:r>
      <w:r>
        <w:rPr>
          <w:rFonts w:ascii="Calibri" w:hAnsi="Calibri" w:cs="Times New Roman"/>
          <w:lang w:val="en-GB"/>
        </w:rPr>
        <w:fldChar w:fldCharType="separate"/>
      </w:r>
      <w:r w:rsidRPr="00DB18E2">
        <w:rPr>
          <w:rFonts w:ascii="Calibri" w:hAnsi="Calibri"/>
          <w:lang w:val="en-GB"/>
        </w:rPr>
        <w:t>(</w:t>
      </w:r>
      <w:proofErr w:type="spellStart"/>
      <w:r w:rsidRPr="00DB18E2">
        <w:rPr>
          <w:rFonts w:ascii="Calibri" w:hAnsi="Calibri"/>
          <w:lang w:val="en-GB"/>
        </w:rPr>
        <w:t>Ruigomez</w:t>
      </w:r>
      <w:proofErr w:type="spellEnd"/>
      <w:r w:rsidRPr="00DB18E2">
        <w:rPr>
          <w:rFonts w:ascii="Calibri" w:hAnsi="Calibri"/>
          <w:lang w:val="en-GB"/>
        </w:rPr>
        <w:t xml:space="preserve"> 2005)</w:t>
      </w:r>
      <w:r>
        <w:rPr>
          <w:rFonts w:ascii="Calibri" w:hAnsi="Calibri" w:cs="Times New Roman"/>
          <w:lang w:val="en-GB"/>
        </w:rPr>
        <w:fldChar w:fldCharType="end"/>
      </w:r>
      <w:r>
        <w:rPr>
          <w:rFonts w:ascii="Calibri" w:hAnsi="Calibri" w:cs="Times New Roman"/>
          <w:lang w:val="en-GB"/>
        </w:rPr>
        <w:t xml:space="preserve">. </w:t>
      </w:r>
      <w:r>
        <w:rPr>
          <w:rFonts w:cs="Times New Roman"/>
          <w:lang w:val="en-GB"/>
        </w:rPr>
        <w:t xml:space="preserve">Transfer coefficients describing fractions of negative, positive or uncertain diagnoses will be derived from Swiss health insurer’s registries. This data retrieval is still ongoing. In addition to these data information derived from guidelines for the management of coronary heart disease of the European Society of Cardiology as well as data from selected cardiologists will be used </w:t>
      </w:r>
      <w:r>
        <w:rPr>
          <w:rFonts w:cs="Times New Roman"/>
          <w:lang w:val="en-GB"/>
        </w:rPr>
        <w:fldChar w:fldCharType="begin"/>
      </w:r>
      <w:r>
        <w:rPr>
          <w:rFonts w:cs="Times New Roman"/>
          <w:lang w:val="en-GB"/>
        </w:rPr>
        <w:instrText xml:space="preserve"> ADDIN ZOTERO_ITEM CSL_CITATION {"citationID":"mnyOfvGi","properties":{"formattedCitation":"{\\rtf (\\uc0\\u8220{}2013 ESC Guidelines on the Management of Stable Coronary Artery Disease: The Task Force on the Management of Stable Coronary Artery Disease of the European Society of Cardiology\\uc0\\u8221{} 2013)}","plainCitation":"(“2013 ESC Guidelines on the Management of Stable Coronary Artery Disease: The Task Force on the Management of Stable Coronary Artery Disease of the European Society of Cardiology” 2013)"},"citationItems":[{"id":413,"uris":["http://zotero.org/groups/254951/items/P2XS4IZV"],"uri":["http://zotero.org/groups/254951/items/P2XS4IZV"],"itemData":{"id":413,"type":"article-journal","title":"2013 ESC guidelines on the management of stable coronary artery disease: The Task Force on the management of stable coronary artery disease of the European Society of Cardiology","container-title":"European Heart Journal","page":"2949-3003","volume":"34","issue":"38","source":"CrossRef","DOI":"10.1093/eurheartj/eht296","ISSN":"0195-668X, 1522-9645","shortTitle":"2013 ESC guidelines on the management of stable coronary artery disease","language":"en","issued":{"date-parts":[["2013",10,7]]}}}],"schema":"https://github.com/citation-style-language/schema/raw/master/csl-citation.json"} </w:instrText>
      </w:r>
      <w:r>
        <w:rPr>
          <w:rFonts w:cs="Times New Roman"/>
          <w:lang w:val="en-GB"/>
        </w:rPr>
        <w:fldChar w:fldCharType="separate"/>
      </w:r>
      <w:r w:rsidRPr="003D2484">
        <w:rPr>
          <w:rFonts w:ascii="Calibri" w:hAnsi="Calibri" w:cs="Times New Roman"/>
          <w:szCs w:val="24"/>
          <w:lang w:val="en-GB"/>
        </w:rPr>
        <w:t xml:space="preserve">(Guidelines on the Management of </w:t>
      </w:r>
      <w:r>
        <w:rPr>
          <w:rFonts w:ascii="Calibri" w:hAnsi="Calibri" w:cs="Times New Roman"/>
          <w:szCs w:val="24"/>
          <w:lang w:val="en-GB"/>
        </w:rPr>
        <w:t xml:space="preserve">Stable Coronary Artery Disease </w:t>
      </w:r>
      <w:r w:rsidRPr="003D2484">
        <w:rPr>
          <w:rFonts w:ascii="Calibri" w:hAnsi="Calibri" w:cs="Times New Roman"/>
          <w:szCs w:val="24"/>
          <w:lang w:val="en-GB"/>
        </w:rPr>
        <w:t>2013)</w:t>
      </w:r>
      <w:r>
        <w:rPr>
          <w:rFonts w:cs="Times New Roman"/>
          <w:lang w:val="en-GB"/>
        </w:rPr>
        <w:fldChar w:fldCharType="end"/>
      </w:r>
      <w:r>
        <w:rPr>
          <w:rFonts w:cs="Times New Roman"/>
          <w:lang w:val="en-GB"/>
        </w:rPr>
        <w:t xml:space="preserve">. Potential overuse of (invasive) diagnostic interventions is derived from </w:t>
      </w:r>
      <w:r>
        <w:rPr>
          <w:rFonts w:ascii="Calibri" w:hAnsi="Calibri" w:cs="Times New Roman"/>
          <w:lang w:val="en-GB"/>
        </w:rPr>
        <w:fldChar w:fldCharType="begin"/>
      </w:r>
      <w:r>
        <w:rPr>
          <w:rFonts w:ascii="Calibri" w:hAnsi="Calibri" w:cs="Times New Roman"/>
          <w:lang w:val="en-GB"/>
        </w:rPr>
        <w:instrText xml:space="preserve"> ADDIN ZOTERO_ITEM CSL_CITATION {"citationID":"KvcPH4jU","properties":{"formattedCitation":"(Chmiel et al. 2015)","plainCitation":"(Chmiel et al. 2015)"},"citationItems":[{"id":383,"uris":["http://zotero.org/groups/254951/items/WGB8QRVP"],"uri":["http://zotero.org/groups/254951/items/WGB8QRVP"],"itemData":{"id":383,"type":"article-journal","title":"Appropriateness of diagnostic coronary angiography as a measure of cardiac ischemia testing in non-emergency patients-a retrospective cross-sectional analysis.","container-title":"PloS one","volume":"10","issue":"2","source":"Google Scholar","URL":"http://dx.plos.org/10.1371/journal.pone.0117172","author":[{"family":"Chmiel","given":"Corinne"},{"family":"Reich","given":"Oliver"},{"family":"Signorell","given":"Andri"},{"family":"Tandjung","given":"Ryan"},{"family":"Rosemann","given":"Thomas"},{"family":"Senn","given":"Oliver"}],"issued":{"date-parts":[["2015"]]},"accessed":{"date-parts":[["2015",6,8]]}}}],"schema":"https://github.com/citation-style-language/schema/raw/master/csl-citation.json"} </w:instrText>
      </w:r>
      <w:r>
        <w:rPr>
          <w:rFonts w:ascii="Calibri" w:hAnsi="Calibri" w:cs="Times New Roman"/>
          <w:lang w:val="en-GB"/>
        </w:rPr>
        <w:fldChar w:fldCharType="separate"/>
      </w:r>
      <w:r w:rsidRPr="003E2584">
        <w:rPr>
          <w:rFonts w:ascii="Calibri" w:hAnsi="Calibri"/>
          <w:lang w:val="en-GB"/>
        </w:rPr>
        <w:t>(Chmiel et al. 2015)</w:t>
      </w:r>
      <w:r>
        <w:rPr>
          <w:rFonts w:ascii="Calibri" w:hAnsi="Calibri" w:cs="Times New Roman"/>
          <w:lang w:val="en-GB"/>
        </w:rPr>
        <w:fldChar w:fldCharType="end"/>
      </w:r>
      <w:r>
        <w:rPr>
          <w:rFonts w:ascii="Calibri" w:hAnsi="Calibri" w:cs="Times New Roman"/>
          <w:lang w:val="en-GB"/>
        </w:rPr>
        <w:t xml:space="preserve">. </w:t>
      </w:r>
    </w:p>
    <w:p w:rsidR="00597E19" w:rsidRDefault="00597E19" w:rsidP="00597E19">
      <w:pPr>
        <w:rPr>
          <w:rFonts w:cs="Times New Roman"/>
          <w:lang w:val="en-GB"/>
        </w:rPr>
      </w:pPr>
    </w:p>
    <w:p w:rsidR="00597E19" w:rsidRDefault="00597E19" w:rsidP="00597E19">
      <w:pPr>
        <w:keepNext/>
      </w:pPr>
      <w:r>
        <w:rPr>
          <w:noProof/>
          <w:lang w:eastAsia="de-CH"/>
        </w:rPr>
        <w:drawing>
          <wp:inline distT="0" distB="0" distL="0" distR="0" wp14:anchorId="7DA68150" wp14:editId="77BBE19B">
            <wp:extent cx="8522766" cy="314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19143" cy="3148261"/>
                    </a:xfrm>
                    <a:prstGeom prst="rect">
                      <a:avLst/>
                    </a:prstGeom>
                  </pic:spPr>
                </pic:pic>
              </a:graphicData>
            </a:graphic>
          </wp:inline>
        </w:drawing>
      </w:r>
    </w:p>
    <w:p w:rsidR="00597E19" w:rsidRPr="00130CF0" w:rsidRDefault="00597E19" w:rsidP="00597E19">
      <w:pPr>
        <w:pStyle w:val="Beschriftung"/>
        <w:rPr>
          <w:rFonts w:cs="Times New Roman"/>
          <w:lang w:val="en-GB"/>
        </w:rPr>
        <w:sectPr w:rsidR="00597E19" w:rsidRPr="00130CF0" w:rsidSect="00130CF0">
          <w:pgSz w:w="16838" w:h="11906" w:orient="landscape"/>
          <w:pgMar w:top="1417" w:right="1417" w:bottom="1417" w:left="1134" w:header="708" w:footer="708" w:gutter="0"/>
          <w:cols w:space="708"/>
          <w:docGrid w:linePitch="360"/>
        </w:sectPr>
      </w:pPr>
      <w:bookmarkStart w:id="1" w:name="_Ref477182402"/>
      <w:r w:rsidRPr="00130CF0">
        <w:rPr>
          <w:lang w:val="en-GB"/>
        </w:rPr>
        <w:t xml:space="preserve">Figure </w:t>
      </w:r>
      <w:r>
        <w:fldChar w:fldCharType="begin"/>
      </w:r>
      <w:r w:rsidRPr="00130CF0">
        <w:rPr>
          <w:lang w:val="en-GB"/>
        </w:rPr>
        <w:instrText xml:space="preserve"> SEQ Figure \* ARABIC </w:instrText>
      </w:r>
      <w:r>
        <w:fldChar w:fldCharType="separate"/>
      </w:r>
      <w:r>
        <w:rPr>
          <w:noProof/>
          <w:lang w:val="en-GB"/>
        </w:rPr>
        <w:t>1</w:t>
      </w:r>
      <w:r>
        <w:fldChar w:fldCharType="end"/>
      </w:r>
      <w:bookmarkEnd w:id="1"/>
      <w:r w:rsidRPr="00130CF0">
        <w:rPr>
          <w:lang w:val="en-GB"/>
        </w:rPr>
        <w:t>: Model structure: from onset of symptoms to diagnosis, treatment and follow-up</w:t>
      </w:r>
      <w:r>
        <w:rPr>
          <w:lang w:val="en-GB"/>
        </w:rPr>
        <w:t xml:space="preserve">. </w:t>
      </w:r>
    </w:p>
    <w:p w:rsidR="00597E19" w:rsidRPr="00597E19" w:rsidRDefault="00597E19" w:rsidP="00597E19">
      <w:pPr>
        <w:rPr>
          <w:rFonts w:cs="Times New Roman"/>
          <w:lang w:val="en-GB"/>
        </w:rPr>
      </w:pPr>
      <w:r w:rsidRPr="00EE23F0">
        <w:rPr>
          <w:rFonts w:cs="Times New Roman"/>
          <w:lang w:val="en-GB"/>
        </w:rPr>
        <w:lastRenderedPageBreak/>
        <w:t xml:space="preserve">With regard to treatment two different options are considered: invasive treatment including percutaneous coronary interventions (PCI) and coronary artery bypass grafting (CABG), and treatment based on medication only. Two reasons speak for this assumption: the outcomes of both interventions (PCI, CABG) as well as the costs are in the same order of magnitude </w:t>
      </w:r>
      <w:r w:rsidRPr="00EE23F0">
        <w:rPr>
          <w:rFonts w:cs="Times New Roman"/>
          <w:lang w:val="en-GB"/>
        </w:rPr>
        <w:fldChar w:fldCharType="begin"/>
      </w:r>
      <w:r w:rsidRPr="00EE23F0">
        <w:rPr>
          <w:rFonts w:cs="Times New Roman"/>
          <w:lang w:val="en-GB"/>
        </w:rPr>
        <w:instrText xml:space="preserve"> ADDIN ZOTERO_ITEM CSL_CITATION {"citationID":"M2bbC9Aw","properties":{"formattedCitation":"(Fox et al. 2010)","plainCitation":"(Fox et al. 2010)"},"citationItems":[{"id":424,"uris":["http://zotero.org/groups/254951/items/MNXUJK2T"],"uri":["http://zotero.org/groups/254951/items/MNXUJK2T"],"itemData":{"id":424,"type":"article-journal","title":"Underestimated and under-recognized: the late consequences of acute coronary syndrome (GRACE UK-Belgian Study)","container-title":"European Heart Journal","page":"2755-2764","volume":"31","issue":"22","source":"CrossRef","DOI":"10.1093/eurheartj/ehq326","ISSN":"0195-668X, 1522-9645","shortTitle":"Underestimated and under-recognized","language":"en","author":[{"family":"Fox","given":"K. A. A."},{"family":"Carruthers","given":"K. F."},{"family":"Dunbar","given":"D. R."},{"family":"Graham","given":"C."},{"family":"Manning","given":"J. R."},{"family":"De Raedt","given":"H."},{"family":"Buysschaert","given":"I."},{"family":"Lambrechts","given":"D."},{"family":"Van de Werf","given":"F."}],"issued":{"date-parts":[["2010",11,2]]}}}],"schema":"https://github.com/citation-style-language/schema/raw/master/csl-citation.json"} </w:instrText>
      </w:r>
      <w:r w:rsidRPr="00EE23F0">
        <w:rPr>
          <w:rFonts w:cs="Times New Roman"/>
          <w:lang w:val="en-GB"/>
        </w:rPr>
        <w:fldChar w:fldCharType="separate"/>
      </w:r>
      <w:r w:rsidRPr="00EE23F0">
        <w:rPr>
          <w:rFonts w:cs="Times New Roman"/>
          <w:lang w:val="en-GB"/>
        </w:rPr>
        <w:t>(Fox et al. 2010)</w:t>
      </w:r>
      <w:r w:rsidRPr="00EE23F0">
        <w:rPr>
          <w:rFonts w:cs="Times New Roman"/>
          <w:lang w:val="en-GB"/>
        </w:rPr>
        <w:fldChar w:fldCharType="end"/>
      </w:r>
      <w:r w:rsidRPr="00EE23F0">
        <w:rPr>
          <w:rFonts w:cs="Times New Roman"/>
          <w:lang w:val="en-GB"/>
        </w:rPr>
        <w:t>, and follow-up as well as frequency of recurrent events are similar in both cases. Patients with a diagnosed ACS are treated periodically during follow-up and may undergo recurrent events</w:t>
      </w:r>
      <w:r>
        <w:rPr>
          <w:rFonts w:ascii="Calibri" w:hAnsi="Calibri" w:cs="Times New Roman"/>
          <w:lang w:val="en-GB"/>
        </w:rPr>
        <w:t xml:space="preserve"> </w:t>
      </w:r>
      <w:r>
        <w:rPr>
          <w:rFonts w:ascii="Calibri" w:hAnsi="Calibri" w:cs="Times New Roman"/>
          <w:lang w:val="en-GB"/>
        </w:rPr>
        <w:fldChar w:fldCharType="begin"/>
      </w:r>
      <w:r>
        <w:rPr>
          <w:rFonts w:ascii="Calibri" w:hAnsi="Calibri" w:cs="Times New Roman"/>
          <w:lang w:val="en-GB"/>
        </w:rPr>
        <w:instrText xml:space="preserve"> ADDIN ZOTERO_ITEM CSL_CITATION {"citationID":"WXd4dAbI","properties":{"formattedCitation":"(Smolina et al. 2012)","plainCitation":"(Smolina et al. 2012)"},"citationItems":[{"id":2796,"uris":["http://zotero.org/groups/254951/items/BAHCQPCB"],"uri":["http://zotero.org/groups/254951/items/BAHCQPCB"],"itemData":{"id":2796,"type":"article-journal","title":"Long-Term Survival and Recurrence After Acute Myocardial Infarction in England, 2004 to 2010","container-title":"Circulation: Cardiovascular Quality and Outcomes","page":"532-540","volume":"5","issue":"4","source":"circoutcomes.ahajournals.org","abstract":"Background—There are limited population-based national data on prognosis in survivors of acute myocardial infarction (AMI), particularly on long-term survival and the risk of recurrence.\nMethods and Results—Record linkage of hospital and mortality data identified 387 452 individuals in England who were admitted to hospital with a main diagnosis of AMI between 2004 and 2010 and who survived for at least 30 days. Seven years after an AMI, the risk of death from any cause in survivors of first or recurrent AMI was, respectively, 2 and 3 times higher than that in the English general population of equivalent age. For all survivors of a first AMI, the risk of a second AMI was highest during the first year and the cumulative risk increased more gradually thereafter. For men, 1- and 7-year cumulative risks were 5.6% (95% confidence interval [CI], 5.5–5.7) and 13.9% (95% CI, 13.7–14.1); for women, they were 7.2% (95% CI, 7.1–7.4) and 16.2% (95% CI, 16.0–16.5). Older age, higher deprivation, no revascularization procedures, and presence of comorbidities were associated with higher recurrence risk.\nConclusions—Survivors of both first and recurrent AMI remained at a significantly higher risk of death compared with the general population for at least 7 years after the event. For survivors of first AMI, the influence of predisposing factors for second AMI lessened with time after the initial event. The results reinforce the importance of acute clinical care and secondary prevention in improving long-term prognosis of hospitalized AMI patients.","DOI":"10.1161/CIRCOUTCOMES.111.964700","ISSN":"1941-7705, 1941-7705","note":"PMID: 22740013","journalAbbreviation":"Circ Cardiovasc Qual Outcomes","language":"en","author":[{"family":"Smolina","given":"Kate"},{"family":"Wright","given":"F. Lucy"},{"family":"Rayner","given":"Mike"},{"family":"Goldacre","given":"Michael J."}],"issued":{"date-parts":[["2012",7,1]]},"PMID":"22740013"}}],"schema":"https://github.com/citation-style-language/schema/raw/master/csl-citation.json"} </w:instrText>
      </w:r>
      <w:r>
        <w:rPr>
          <w:rFonts w:ascii="Calibri" w:hAnsi="Calibri" w:cs="Times New Roman"/>
          <w:lang w:val="en-GB"/>
        </w:rPr>
        <w:fldChar w:fldCharType="separate"/>
      </w:r>
      <w:r w:rsidRPr="00073929">
        <w:rPr>
          <w:rFonts w:ascii="Calibri" w:hAnsi="Calibri"/>
        </w:rPr>
        <w:t>(</w:t>
      </w:r>
      <w:proofErr w:type="spellStart"/>
      <w:r w:rsidRPr="00073929">
        <w:rPr>
          <w:rFonts w:ascii="Calibri" w:hAnsi="Calibri"/>
        </w:rPr>
        <w:t>Smolina</w:t>
      </w:r>
      <w:proofErr w:type="spellEnd"/>
      <w:r w:rsidRPr="00073929">
        <w:rPr>
          <w:rFonts w:ascii="Calibri" w:hAnsi="Calibri"/>
        </w:rPr>
        <w:t xml:space="preserve"> et al. 2012)</w:t>
      </w:r>
      <w:r>
        <w:rPr>
          <w:rFonts w:ascii="Calibri" w:hAnsi="Calibri" w:cs="Times New Roman"/>
          <w:lang w:val="en-GB"/>
        </w:rPr>
        <w:fldChar w:fldCharType="end"/>
      </w:r>
      <w:r>
        <w:rPr>
          <w:rFonts w:ascii="Calibri" w:hAnsi="Calibri" w:cs="Times New Roman"/>
          <w:lang w:val="en-GB"/>
        </w:rPr>
        <w:t>. The amount of periodic treatments will be derived from insurer’s data.</w:t>
      </w:r>
      <w:r>
        <w:rPr>
          <w:rFonts w:cs="Times New Roman"/>
          <w:lang w:val="en-GB"/>
        </w:rPr>
        <w:t xml:space="preserve"> </w:t>
      </w:r>
      <w:r w:rsidRPr="006D712A">
        <w:rPr>
          <w:rFonts w:cs="Times New Roman"/>
          <w:lang w:val="en-GB"/>
        </w:rPr>
        <w:t xml:space="preserve">The </w:t>
      </w:r>
      <w:r>
        <w:rPr>
          <w:rFonts w:cs="Times New Roman"/>
          <w:lang w:val="en-GB"/>
        </w:rPr>
        <w:t xml:space="preserve">total </w:t>
      </w:r>
      <w:r w:rsidRPr="006D712A">
        <w:rPr>
          <w:rFonts w:cs="Times New Roman"/>
          <w:lang w:val="en-GB"/>
        </w:rPr>
        <w:t xml:space="preserve">amount of medical services depends on the </w:t>
      </w:r>
      <w:r>
        <w:rPr>
          <w:rFonts w:cs="Times New Roman"/>
          <w:lang w:val="en-GB"/>
        </w:rPr>
        <w:t>number of diagnostic and therapeutic interventions at different stages of the treatment chain.</w:t>
      </w:r>
    </w:p>
    <w:p w:rsidR="00E969AC" w:rsidRPr="006D712A" w:rsidRDefault="00597E19" w:rsidP="00E969AC">
      <w:pPr>
        <w:pStyle w:val="SNFTITEL1"/>
        <w:rPr>
          <w:rFonts w:asciiTheme="minorHAnsi" w:hAnsiTheme="minorHAnsi"/>
        </w:rPr>
      </w:pPr>
      <w:r>
        <w:rPr>
          <w:rFonts w:asciiTheme="minorHAnsi" w:hAnsiTheme="minorHAnsi"/>
        </w:rPr>
        <w:t>Model structure</w:t>
      </w:r>
    </w:p>
    <w:p w:rsidR="008018D9" w:rsidRDefault="00597E19" w:rsidP="008C6948">
      <w:pPr>
        <w:rPr>
          <w:rFonts w:cs="Times New Roman"/>
          <w:lang w:val="en-GB"/>
        </w:rPr>
      </w:pPr>
      <w:r>
        <w:rPr>
          <w:rFonts w:cs="Times New Roman"/>
          <w:lang w:val="en-GB"/>
        </w:rPr>
        <w:t xml:space="preserve">The fundamental model structure is in a </w:t>
      </w:r>
      <w:r>
        <w:rPr>
          <w:rFonts w:cs="Times New Roman"/>
          <w:lang w:val="en-GB"/>
        </w:rPr>
        <w:t>highly simplified</w:t>
      </w:r>
      <w:r>
        <w:rPr>
          <w:rFonts w:cs="Times New Roman"/>
          <w:lang w:val="en-GB"/>
        </w:rPr>
        <w:t xml:space="preserve"> way shown in </w:t>
      </w:r>
      <w:r>
        <w:rPr>
          <w:rFonts w:cs="Times New Roman"/>
          <w:lang w:val="en-GB"/>
        </w:rPr>
        <w:fldChar w:fldCharType="begin"/>
      </w:r>
      <w:r>
        <w:rPr>
          <w:rFonts w:cs="Times New Roman"/>
          <w:lang w:val="en-GB"/>
        </w:rPr>
        <w:instrText xml:space="preserve"> REF _Ref477265035 \h </w:instrText>
      </w:r>
      <w:r>
        <w:rPr>
          <w:rFonts w:cs="Times New Roman"/>
          <w:lang w:val="en-GB"/>
        </w:rPr>
      </w:r>
      <w:r>
        <w:rPr>
          <w:rFonts w:cs="Times New Roman"/>
          <w:lang w:val="en-GB"/>
        </w:rPr>
        <w:fldChar w:fldCharType="separate"/>
      </w:r>
      <w:r w:rsidRPr="00597E19">
        <w:rPr>
          <w:lang w:val="en-GB"/>
        </w:rPr>
        <w:t xml:space="preserve">Figure </w:t>
      </w:r>
      <w:r w:rsidRPr="00597E19">
        <w:rPr>
          <w:noProof/>
          <w:lang w:val="en-GB"/>
        </w:rPr>
        <w:t>2</w:t>
      </w:r>
      <w:r>
        <w:rPr>
          <w:rFonts w:cs="Times New Roman"/>
          <w:lang w:val="en-GB"/>
        </w:rPr>
        <w:fldChar w:fldCharType="end"/>
      </w:r>
      <w:r>
        <w:rPr>
          <w:rFonts w:cs="Times New Roman"/>
          <w:lang w:val="en-GB"/>
        </w:rPr>
        <w:t>.</w:t>
      </w:r>
      <w:r w:rsidR="00BC5560">
        <w:rPr>
          <w:rFonts w:cs="Times New Roman"/>
          <w:lang w:val="en-GB"/>
        </w:rPr>
        <w:t xml:space="preserve"> </w:t>
      </w:r>
      <w:r w:rsidR="008018D9">
        <w:rPr>
          <w:rFonts w:cs="Times New Roman"/>
          <w:lang w:val="en-GB"/>
        </w:rPr>
        <w:t xml:space="preserve">Incidence rates CHD involve diagnosis and treatment (see </w:t>
      </w:r>
      <w:r>
        <w:rPr>
          <w:rFonts w:cs="Times New Roman"/>
          <w:lang w:val="en-GB"/>
        </w:rPr>
        <w:t>above</w:t>
      </w:r>
      <w:r w:rsidR="008018D9">
        <w:rPr>
          <w:rFonts w:cs="Times New Roman"/>
          <w:lang w:val="en-GB"/>
        </w:rPr>
        <w:t>). All flow rates are specified according to age and gender.  Net migration is not shown here, but will be included.</w:t>
      </w:r>
    </w:p>
    <w:p w:rsidR="00597E19" w:rsidRDefault="00597E19" w:rsidP="008C6948">
      <w:pPr>
        <w:rPr>
          <w:rFonts w:cs="Times New Roman"/>
          <w:lang w:val="en-GB"/>
        </w:rPr>
      </w:pPr>
      <w:r>
        <w:rPr>
          <w:rFonts w:cs="Times New Roman"/>
          <w:lang w:val="en-GB"/>
        </w:rPr>
        <w:t>From a modelling point of view it is the question how to address this problem appropriately with Ventity.</w:t>
      </w:r>
    </w:p>
    <w:p w:rsidR="00597E19" w:rsidRDefault="00BC5560" w:rsidP="00597E19">
      <w:pPr>
        <w:keepNext/>
      </w:pPr>
      <w:r>
        <w:rPr>
          <w:noProof/>
          <w:lang w:eastAsia="de-CH"/>
        </w:rPr>
        <w:drawing>
          <wp:inline distT="0" distB="0" distL="0" distR="0" wp14:anchorId="1693CA1D" wp14:editId="3EBD7521">
            <wp:extent cx="5760720" cy="35454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545482"/>
                    </a:xfrm>
                    <a:prstGeom prst="rect">
                      <a:avLst/>
                    </a:prstGeom>
                  </pic:spPr>
                </pic:pic>
              </a:graphicData>
            </a:graphic>
          </wp:inline>
        </w:drawing>
      </w:r>
    </w:p>
    <w:p w:rsidR="008018D9" w:rsidRDefault="00597E19" w:rsidP="00597E19">
      <w:pPr>
        <w:pStyle w:val="Beschriftung"/>
        <w:rPr>
          <w:rFonts w:cs="Times New Roman"/>
          <w:lang w:val="en-GB"/>
        </w:rPr>
      </w:pPr>
      <w:bookmarkStart w:id="2" w:name="_Ref477265035"/>
      <w:proofErr w:type="spellStart"/>
      <w:r>
        <w:t>Figure</w:t>
      </w:r>
      <w:proofErr w:type="spellEnd"/>
      <w:r>
        <w:t xml:space="preserve"> </w:t>
      </w:r>
      <w:fldSimple w:instr=" SEQ Figure \* ARABIC ">
        <w:r>
          <w:rPr>
            <w:noProof/>
          </w:rPr>
          <w:t>2</w:t>
        </w:r>
      </w:fldSimple>
      <w:bookmarkEnd w:id="2"/>
      <w:r>
        <w:t xml:space="preserve">: </w:t>
      </w:r>
      <w:proofErr w:type="spellStart"/>
      <w:r>
        <w:t>Simplified</w:t>
      </w:r>
      <w:proofErr w:type="spellEnd"/>
      <w:r>
        <w:t xml:space="preserve"> </w:t>
      </w:r>
      <w:proofErr w:type="spellStart"/>
      <w:r>
        <w:t>model</w:t>
      </w:r>
      <w:proofErr w:type="spellEnd"/>
      <w:r>
        <w:t xml:space="preserve"> </w:t>
      </w:r>
      <w:proofErr w:type="spellStart"/>
      <w:r>
        <w:t>structure</w:t>
      </w:r>
      <w:proofErr w:type="spellEnd"/>
    </w:p>
    <w:p w:rsidR="008018D9" w:rsidRDefault="008018D9" w:rsidP="008C6948">
      <w:pPr>
        <w:rPr>
          <w:rFonts w:cs="Times New Roman"/>
          <w:lang w:val="en-GB"/>
        </w:rPr>
        <w:sectPr w:rsidR="008018D9" w:rsidSect="00BC5560">
          <w:pgSz w:w="11906" w:h="16838"/>
          <w:pgMar w:top="1417" w:right="1417" w:bottom="1134" w:left="1417" w:header="708" w:footer="708" w:gutter="0"/>
          <w:cols w:space="708"/>
          <w:docGrid w:linePitch="360"/>
        </w:sectPr>
      </w:pPr>
    </w:p>
    <w:p w:rsidR="007E4A1E" w:rsidRPr="007E4A1E" w:rsidRDefault="007E4A1E" w:rsidP="007E4A1E">
      <w:pPr>
        <w:pStyle w:val="Literaturverzeichnis"/>
        <w:rPr>
          <w:b/>
          <w:lang w:val="en-GB"/>
        </w:rPr>
      </w:pPr>
      <w:r w:rsidRPr="007E4A1E">
        <w:rPr>
          <w:b/>
          <w:lang w:val="en-GB"/>
        </w:rPr>
        <w:lastRenderedPageBreak/>
        <w:t>References</w:t>
      </w:r>
    </w:p>
    <w:p w:rsidR="007E4A1E" w:rsidRPr="007E4A1E" w:rsidRDefault="007E4A1E" w:rsidP="007E4A1E">
      <w:pPr>
        <w:pStyle w:val="Literaturverzeichnis"/>
        <w:rPr>
          <w:rFonts w:ascii="Calibri" w:hAnsi="Calibri"/>
        </w:rPr>
      </w:pPr>
      <w:r>
        <w:rPr>
          <w:lang w:val="en-GB"/>
        </w:rPr>
        <w:fldChar w:fldCharType="begin"/>
      </w:r>
      <w:r>
        <w:rPr>
          <w:lang w:val="en-GB"/>
        </w:rPr>
        <w:instrText xml:space="preserve"> ADDIN ZOTERO_BIBL {"custom":[]} CSL_BIBLIOGRAPHY </w:instrText>
      </w:r>
      <w:r>
        <w:rPr>
          <w:lang w:val="en-GB"/>
        </w:rPr>
        <w:fldChar w:fldCharType="separate"/>
      </w:r>
      <w:r w:rsidRPr="007E4A1E">
        <w:rPr>
          <w:rFonts w:ascii="Calibri" w:hAnsi="Calibri"/>
          <w:lang w:val="en-GB"/>
        </w:rPr>
        <w:t xml:space="preserve">“2013 ESC Guidelines on the Management of Stable Coronary Artery Disease: The Task Force on the Management of Stable Coronary Artery Disease of the European Society of Cardiology.” </w:t>
      </w:r>
      <w:r w:rsidRPr="007E4A1E">
        <w:rPr>
          <w:rFonts w:ascii="Calibri" w:hAnsi="Calibri"/>
        </w:rPr>
        <w:t xml:space="preserve">2013. </w:t>
      </w:r>
      <w:r w:rsidRPr="007E4A1E">
        <w:rPr>
          <w:rFonts w:ascii="Calibri" w:hAnsi="Calibri"/>
          <w:i/>
          <w:iCs/>
        </w:rPr>
        <w:t>European Heart Journal</w:t>
      </w:r>
      <w:r w:rsidRPr="007E4A1E">
        <w:rPr>
          <w:rFonts w:ascii="Calibri" w:hAnsi="Calibri"/>
        </w:rPr>
        <w:t xml:space="preserve"> 34 (38): 2949–3003. doi:10.1093/</w:t>
      </w:r>
      <w:proofErr w:type="spellStart"/>
      <w:r w:rsidRPr="007E4A1E">
        <w:rPr>
          <w:rFonts w:ascii="Calibri" w:hAnsi="Calibri"/>
        </w:rPr>
        <w:t>eurheartj</w:t>
      </w:r>
      <w:proofErr w:type="spellEnd"/>
      <w:r w:rsidRPr="007E4A1E">
        <w:rPr>
          <w:rFonts w:ascii="Calibri" w:hAnsi="Calibri"/>
        </w:rPr>
        <w:t>/eht296.</w:t>
      </w:r>
    </w:p>
    <w:p w:rsidR="007E4A1E" w:rsidRPr="007E4A1E" w:rsidRDefault="007E4A1E" w:rsidP="007E4A1E">
      <w:pPr>
        <w:pStyle w:val="Literaturverzeichnis"/>
        <w:rPr>
          <w:rFonts w:ascii="Calibri" w:hAnsi="Calibri"/>
          <w:lang w:val="en-GB"/>
        </w:rPr>
      </w:pPr>
      <w:r w:rsidRPr="007E4A1E">
        <w:rPr>
          <w:rFonts w:ascii="Calibri" w:hAnsi="Calibri"/>
        </w:rPr>
        <w:t xml:space="preserve">Breyer, Friedrich, Peter Zweifel, </w:t>
      </w:r>
      <w:proofErr w:type="spellStart"/>
      <w:r w:rsidRPr="007E4A1E">
        <w:rPr>
          <w:rFonts w:ascii="Calibri" w:hAnsi="Calibri"/>
        </w:rPr>
        <w:t>and</w:t>
      </w:r>
      <w:proofErr w:type="spellEnd"/>
      <w:r w:rsidRPr="007E4A1E">
        <w:rPr>
          <w:rFonts w:ascii="Calibri" w:hAnsi="Calibri"/>
        </w:rPr>
        <w:t xml:space="preserve"> Mathias </w:t>
      </w:r>
      <w:proofErr w:type="spellStart"/>
      <w:r w:rsidRPr="007E4A1E">
        <w:rPr>
          <w:rFonts w:ascii="Calibri" w:hAnsi="Calibri"/>
        </w:rPr>
        <w:t>Kifmann</w:t>
      </w:r>
      <w:proofErr w:type="spellEnd"/>
      <w:r w:rsidRPr="007E4A1E">
        <w:rPr>
          <w:rFonts w:ascii="Calibri" w:hAnsi="Calibri"/>
        </w:rPr>
        <w:t xml:space="preserve">. 2013. </w:t>
      </w:r>
      <w:r w:rsidRPr="007E4A1E">
        <w:rPr>
          <w:rFonts w:ascii="Calibri" w:hAnsi="Calibri"/>
          <w:i/>
          <w:iCs/>
        </w:rPr>
        <w:t>Gesundheitsökonomik</w:t>
      </w:r>
      <w:r w:rsidRPr="007E4A1E">
        <w:rPr>
          <w:rFonts w:ascii="Calibri" w:hAnsi="Calibri"/>
        </w:rPr>
        <w:t xml:space="preserve">. </w:t>
      </w:r>
      <w:r w:rsidRPr="007E4A1E">
        <w:rPr>
          <w:rFonts w:ascii="Calibri" w:hAnsi="Calibri"/>
          <w:lang w:val="en-GB"/>
        </w:rPr>
        <w:t xml:space="preserve">6th ed. Berlin Heidelberg: Springer </w:t>
      </w:r>
      <w:proofErr w:type="spellStart"/>
      <w:r w:rsidRPr="007E4A1E">
        <w:rPr>
          <w:rFonts w:ascii="Calibri" w:hAnsi="Calibri"/>
          <w:lang w:val="en-GB"/>
        </w:rPr>
        <w:t>Gabler</w:t>
      </w:r>
      <w:proofErr w:type="spellEnd"/>
      <w:r w:rsidRPr="007E4A1E">
        <w:rPr>
          <w:rFonts w:ascii="Calibri" w:hAnsi="Calibri"/>
          <w:lang w:val="en-GB"/>
        </w:rPr>
        <w:t>.</w:t>
      </w:r>
    </w:p>
    <w:p w:rsidR="007E4A1E" w:rsidRPr="007E4A1E" w:rsidRDefault="007E4A1E" w:rsidP="007E4A1E">
      <w:pPr>
        <w:pStyle w:val="Literaturverzeichnis"/>
        <w:rPr>
          <w:rFonts w:ascii="Calibri" w:hAnsi="Calibri"/>
          <w:lang w:val="en-GB"/>
        </w:rPr>
      </w:pPr>
      <w:proofErr w:type="gramStart"/>
      <w:r w:rsidRPr="007E4A1E">
        <w:rPr>
          <w:rFonts w:ascii="Calibri" w:hAnsi="Calibri"/>
          <w:lang w:val="en-GB"/>
        </w:rPr>
        <w:t xml:space="preserve">Chmiel, Corinne, Oliver Reich, Andri </w:t>
      </w:r>
      <w:proofErr w:type="spellStart"/>
      <w:r w:rsidRPr="007E4A1E">
        <w:rPr>
          <w:rFonts w:ascii="Calibri" w:hAnsi="Calibri"/>
          <w:lang w:val="en-GB"/>
        </w:rPr>
        <w:t>Signorell</w:t>
      </w:r>
      <w:proofErr w:type="spellEnd"/>
      <w:r w:rsidRPr="007E4A1E">
        <w:rPr>
          <w:rFonts w:ascii="Calibri" w:hAnsi="Calibri"/>
          <w:lang w:val="en-GB"/>
        </w:rPr>
        <w:t xml:space="preserve">, Ryan </w:t>
      </w:r>
      <w:proofErr w:type="spellStart"/>
      <w:r w:rsidRPr="007E4A1E">
        <w:rPr>
          <w:rFonts w:ascii="Calibri" w:hAnsi="Calibri"/>
          <w:lang w:val="en-GB"/>
        </w:rPr>
        <w:t>Tandjung</w:t>
      </w:r>
      <w:proofErr w:type="spellEnd"/>
      <w:r w:rsidRPr="007E4A1E">
        <w:rPr>
          <w:rFonts w:ascii="Calibri" w:hAnsi="Calibri"/>
          <w:lang w:val="en-GB"/>
        </w:rPr>
        <w:t xml:space="preserve">, Thomas </w:t>
      </w:r>
      <w:proofErr w:type="spellStart"/>
      <w:r w:rsidRPr="007E4A1E">
        <w:rPr>
          <w:rFonts w:ascii="Calibri" w:hAnsi="Calibri"/>
          <w:lang w:val="en-GB"/>
        </w:rPr>
        <w:t>Rosemann</w:t>
      </w:r>
      <w:proofErr w:type="spellEnd"/>
      <w:r w:rsidRPr="007E4A1E">
        <w:rPr>
          <w:rFonts w:ascii="Calibri" w:hAnsi="Calibri"/>
          <w:lang w:val="en-GB"/>
        </w:rPr>
        <w:t xml:space="preserve">, and Oliver </w:t>
      </w:r>
      <w:proofErr w:type="spellStart"/>
      <w:r w:rsidRPr="007E4A1E">
        <w:rPr>
          <w:rFonts w:ascii="Calibri" w:hAnsi="Calibri"/>
          <w:lang w:val="en-GB"/>
        </w:rPr>
        <w:t>Senn</w:t>
      </w:r>
      <w:proofErr w:type="spellEnd"/>
      <w:r w:rsidRPr="007E4A1E">
        <w:rPr>
          <w:rFonts w:ascii="Calibri" w:hAnsi="Calibri"/>
          <w:lang w:val="en-GB"/>
        </w:rPr>
        <w:t>.</w:t>
      </w:r>
      <w:proofErr w:type="gramEnd"/>
      <w:r w:rsidRPr="007E4A1E">
        <w:rPr>
          <w:rFonts w:ascii="Calibri" w:hAnsi="Calibri"/>
          <w:lang w:val="en-GB"/>
        </w:rPr>
        <w:t xml:space="preserve"> 2015. “Appropriateness of Diagnostic Coronary Angiography as a Measure of Cardiac Ischemia Testing in Non-Emergency Patients-a Retrospective Cross-Sectional Analysis.” </w:t>
      </w:r>
      <w:proofErr w:type="spellStart"/>
      <w:proofErr w:type="gramStart"/>
      <w:r w:rsidRPr="007E4A1E">
        <w:rPr>
          <w:rFonts w:ascii="Calibri" w:hAnsi="Calibri"/>
          <w:i/>
          <w:iCs/>
          <w:lang w:val="en-GB"/>
        </w:rPr>
        <w:t>PloS</w:t>
      </w:r>
      <w:proofErr w:type="spellEnd"/>
      <w:r w:rsidRPr="007E4A1E">
        <w:rPr>
          <w:rFonts w:ascii="Calibri" w:hAnsi="Calibri"/>
          <w:i/>
          <w:iCs/>
          <w:lang w:val="en-GB"/>
        </w:rPr>
        <w:t xml:space="preserve"> One</w:t>
      </w:r>
      <w:r w:rsidRPr="007E4A1E">
        <w:rPr>
          <w:rFonts w:ascii="Calibri" w:hAnsi="Calibri"/>
          <w:lang w:val="en-GB"/>
        </w:rPr>
        <w:t xml:space="preserve"> 10 (2).</w:t>
      </w:r>
      <w:proofErr w:type="gramEnd"/>
      <w:r w:rsidRPr="007E4A1E">
        <w:rPr>
          <w:rFonts w:ascii="Calibri" w:hAnsi="Calibri"/>
          <w:lang w:val="en-GB"/>
        </w:rPr>
        <w:t xml:space="preserve"> http://dx.plos.org/10.1371/journal.pone.0117172.</w:t>
      </w:r>
    </w:p>
    <w:p w:rsidR="007E4A1E" w:rsidRPr="007E4A1E" w:rsidRDefault="007E4A1E" w:rsidP="007E4A1E">
      <w:pPr>
        <w:pStyle w:val="Literaturverzeichnis"/>
        <w:rPr>
          <w:rFonts w:ascii="Calibri" w:hAnsi="Calibri"/>
          <w:lang w:val="en-GB"/>
        </w:rPr>
      </w:pPr>
      <w:proofErr w:type="gramStart"/>
      <w:r w:rsidRPr="007E4A1E">
        <w:rPr>
          <w:rFonts w:ascii="Calibri" w:hAnsi="Calibri"/>
          <w:lang w:val="en-GB"/>
        </w:rPr>
        <w:t xml:space="preserve">Cutler, David, Jonathan Skinner, Ariel Dora Stern, and David </w:t>
      </w:r>
      <w:proofErr w:type="spellStart"/>
      <w:r w:rsidRPr="007E4A1E">
        <w:rPr>
          <w:rFonts w:ascii="Calibri" w:hAnsi="Calibri"/>
          <w:lang w:val="en-GB"/>
        </w:rPr>
        <w:t>Wennberg</w:t>
      </w:r>
      <w:proofErr w:type="spellEnd"/>
      <w:r w:rsidRPr="007E4A1E">
        <w:rPr>
          <w:rFonts w:ascii="Calibri" w:hAnsi="Calibri"/>
          <w:lang w:val="en-GB"/>
        </w:rPr>
        <w:t>.</w:t>
      </w:r>
      <w:proofErr w:type="gramEnd"/>
      <w:r w:rsidRPr="007E4A1E">
        <w:rPr>
          <w:rFonts w:ascii="Calibri" w:hAnsi="Calibri"/>
          <w:lang w:val="en-GB"/>
        </w:rPr>
        <w:t xml:space="preserve"> 2013. “Physician Beliefs and Patient Preferences: A New Look at Regional Variation in Health Care Spending.” </w:t>
      </w:r>
      <w:proofErr w:type="gramStart"/>
      <w:r w:rsidRPr="007E4A1E">
        <w:rPr>
          <w:rFonts w:ascii="Calibri" w:hAnsi="Calibri"/>
          <w:lang w:val="en-GB"/>
        </w:rPr>
        <w:t>National Bureau of Economic Research.</w:t>
      </w:r>
      <w:proofErr w:type="gramEnd"/>
      <w:r w:rsidRPr="007E4A1E">
        <w:rPr>
          <w:rFonts w:ascii="Calibri" w:hAnsi="Calibri"/>
          <w:lang w:val="en-GB"/>
        </w:rPr>
        <w:t xml:space="preserve"> http://www.nber.org/papers/w19320.</w:t>
      </w:r>
    </w:p>
    <w:p w:rsidR="007E4A1E" w:rsidRPr="007E4A1E" w:rsidRDefault="007E4A1E" w:rsidP="007E4A1E">
      <w:pPr>
        <w:pStyle w:val="Literaturverzeichnis"/>
        <w:rPr>
          <w:rFonts w:ascii="Calibri" w:hAnsi="Calibri"/>
          <w:lang w:val="en-GB"/>
        </w:rPr>
      </w:pPr>
      <w:proofErr w:type="gramStart"/>
      <w:r w:rsidRPr="007E4A1E">
        <w:rPr>
          <w:rFonts w:ascii="Calibri" w:hAnsi="Calibri"/>
          <w:lang w:val="en-GB"/>
        </w:rPr>
        <w:t>Federal Statistical Office.</w:t>
      </w:r>
      <w:proofErr w:type="gramEnd"/>
      <w:r w:rsidRPr="007E4A1E">
        <w:rPr>
          <w:rFonts w:ascii="Calibri" w:hAnsi="Calibri"/>
          <w:lang w:val="en-GB"/>
        </w:rPr>
        <w:t xml:space="preserve"> 2017. “Causes of Death in 2014.” </w:t>
      </w:r>
      <w:proofErr w:type="gramStart"/>
      <w:r w:rsidRPr="007E4A1E">
        <w:rPr>
          <w:rFonts w:ascii="Calibri" w:hAnsi="Calibri"/>
          <w:lang w:val="en-GB"/>
        </w:rPr>
        <w:t>Accessed March 13.</w:t>
      </w:r>
      <w:proofErr w:type="gramEnd"/>
      <w:r w:rsidRPr="007E4A1E">
        <w:rPr>
          <w:rFonts w:ascii="Calibri" w:hAnsi="Calibri"/>
          <w:lang w:val="en-GB"/>
        </w:rPr>
        <w:t xml:space="preserve"> https://www.bfs.admin.ch/bfs/de/home/statistiken/gesundheit.assetdetail.40503.html.</w:t>
      </w:r>
    </w:p>
    <w:p w:rsidR="007E4A1E" w:rsidRPr="007E4A1E" w:rsidRDefault="007E4A1E" w:rsidP="007E4A1E">
      <w:pPr>
        <w:pStyle w:val="Literaturverzeichnis"/>
        <w:rPr>
          <w:rFonts w:ascii="Calibri" w:hAnsi="Calibri"/>
          <w:lang w:val="en-GB"/>
        </w:rPr>
      </w:pPr>
      <w:r w:rsidRPr="007E4A1E">
        <w:rPr>
          <w:rFonts w:ascii="Calibri" w:hAnsi="Calibri"/>
          <w:lang w:val="en-GB"/>
        </w:rPr>
        <w:t xml:space="preserve">Fox, K. A. A., K. F. Carruthers, D. R. Dunbar, C. Graham, J. R. Manning, H. De </w:t>
      </w:r>
      <w:proofErr w:type="spellStart"/>
      <w:r w:rsidRPr="007E4A1E">
        <w:rPr>
          <w:rFonts w:ascii="Calibri" w:hAnsi="Calibri"/>
          <w:lang w:val="en-GB"/>
        </w:rPr>
        <w:t>Raedt</w:t>
      </w:r>
      <w:proofErr w:type="spellEnd"/>
      <w:r w:rsidRPr="007E4A1E">
        <w:rPr>
          <w:rFonts w:ascii="Calibri" w:hAnsi="Calibri"/>
          <w:lang w:val="en-GB"/>
        </w:rPr>
        <w:t xml:space="preserve">, I. </w:t>
      </w:r>
      <w:proofErr w:type="spellStart"/>
      <w:r w:rsidRPr="007E4A1E">
        <w:rPr>
          <w:rFonts w:ascii="Calibri" w:hAnsi="Calibri"/>
          <w:lang w:val="en-GB"/>
        </w:rPr>
        <w:t>Buysschaert</w:t>
      </w:r>
      <w:proofErr w:type="spellEnd"/>
      <w:r w:rsidRPr="007E4A1E">
        <w:rPr>
          <w:rFonts w:ascii="Calibri" w:hAnsi="Calibri"/>
          <w:lang w:val="en-GB"/>
        </w:rPr>
        <w:t xml:space="preserve">, D. </w:t>
      </w:r>
      <w:proofErr w:type="spellStart"/>
      <w:r w:rsidRPr="007E4A1E">
        <w:rPr>
          <w:rFonts w:ascii="Calibri" w:hAnsi="Calibri"/>
          <w:lang w:val="en-GB"/>
        </w:rPr>
        <w:t>Lambrechts</w:t>
      </w:r>
      <w:proofErr w:type="spellEnd"/>
      <w:r w:rsidRPr="007E4A1E">
        <w:rPr>
          <w:rFonts w:ascii="Calibri" w:hAnsi="Calibri"/>
          <w:lang w:val="en-GB"/>
        </w:rPr>
        <w:t xml:space="preserve">, and F. Van de </w:t>
      </w:r>
      <w:proofErr w:type="spellStart"/>
      <w:r w:rsidRPr="007E4A1E">
        <w:rPr>
          <w:rFonts w:ascii="Calibri" w:hAnsi="Calibri"/>
          <w:lang w:val="en-GB"/>
        </w:rPr>
        <w:t>Werf</w:t>
      </w:r>
      <w:proofErr w:type="spellEnd"/>
      <w:r w:rsidRPr="007E4A1E">
        <w:rPr>
          <w:rFonts w:ascii="Calibri" w:hAnsi="Calibri"/>
          <w:lang w:val="en-GB"/>
        </w:rPr>
        <w:t xml:space="preserve">. 2010. “Underestimated and under-Recognized: The Late Consequences of Acute Coronary Syndrome (GRACE UK-Belgian Study).” </w:t>
      </w:r>
      <w:r w:rsidRPr="007E4A1E">
        <w:rPr>
          <w:rFonts w:ascii="Calibri" w:hAnsi="Calibri"/>
          <w:i/>
          <w:iCs/>
          <w:lang w:val="en-GB"/>
        </w:rPr>
        <w:t>European Heart Journal</w:t>
      </w:r>
      <w:r w:rsidRPr="007E4A1E">
        <w:rPr>
          <w:rFonts w:ascii="Calibri" w:hAnsi="Calibri"/>
          <w:lang w:val="en-GB"/>
        </w:rPr>
        <w:t xml:space="preserve"> 31 (22): 2755–64. doi:10.1093/</w:t>
      </w:r>
      <w:proofErr w:type="spellStart"/>
      <w:r w:rsidRPr="007E4A1E">
        <w:rPr>
          <w:rFonts w:ascii="Calibri" w:hAnsi="Calibri"/>
          <w:lang w:val="en-GB"/>
        </w:rPr>
        <w:t>eurheartj</w:t>
      </w:r>
      <w:proofErr w:type="spellEnd"/>
      <w:r w:rsidRPr="007E4A1E">
        <w:rPr>
          <w:rFonts w:ascii="Calibri" w:hAnsi="Calibri"/>
          <w:lang w:val="en-GB"/>
        </w:rPr>
        <w:t>/ehq326.</w:t>
      </w:r>
    </w:p>
    <w:p w:rsidR="007E4A1E" w:rsidRPr="007E4A1E" w:rsidRDefault="007E4A1E" w:rsidP="007E4A1E">
      <w:pPr>
        <w:pStyle w:val="Literaturverzeichnis"/>
        <w:rPr>
          <w:rFonts w:ascii="Calibri" w:hAnsi="Calibri"/>
          <w:lang w:val="en-GB"/>
        </w:rPr>
      </w:pPr>
      <w:proofErr w:type="gramStart"/>
      <w:r w:rsidRPr="007E4A1E">
        <w:rPr>
          <w:rFonts w:ascii="Calibri" w:hAnsi="Calibri"/>
          <w:lang w:val="en-GB"/>
        </w:rPr>
        <w:t>OECD.</w:t>
      </w:r>
      <w:proofErr w:type="gramEnd"/>
      <w:r w:rsidRPr="007E4A1E">
        <w:rPr>
          <w:rFonts w:ascii="Calibri" w:hAnsi="Calibri"/>
          <w:lang w:val="en-GB"/>
        </w:rPr>
        <w:t xml:space="preserve"> 2011. “OECD Reviews of Health Systems: Switzerland 2011.” </w:t>
      </w:r>
      <w:r w:rsidRPr="007E4A1E">
        <w:rPr>
          <w:rFonts w:ascii="Calibri" w:hAnsi="Calibri"/>
          <w:i/>
          <w:iCs/>
          <w:lang w:val="en-GB"/>
        </w:rPr>
        <w:t>OECD Publishing</w:t>
      </w:r>
      <w:r w:rsidRPr="007E4A1E">
        <w:rPr>
          <w:rFonts w:ascii="Calibri" w:hAnsi="Calibri"/>
          <w:lang w:val="en-GB"/>
        </w:rPr>
        <w:t>. http://dx.doi.org/10.1787/9789264120914-en.</w:t>
      </w:r>
    </w:p>
    <w:p w:rsidR="007E4A1E" w:rsidRPr="007E4A1E" w:rsidRDefault="007E4A1E" w:rsidP="007E4A1E">
      <w:pPr>
        <w:pStyle w:val="Literaturverzeichnis"/>
        <w:rPr>
          <w:rFonts w:ascii="Calibri" w:hAnsi="Calibri"/>
          <w:lang w:val="en-GB"/>
        </w:rPr>
      </w:pPr>
      <w:r w:rsidRPr="007E4A1E">
        <w:rPr>
          <w:rFonts w:ascii="Calibri" w:hAnsi="Calibri"/>
          <w:lang w:val="en-GB"/>
        </w:rPr>
        <w:t xml:space="preserve">Robitaille, Cynthia, </w:t>
      </w:r>
      <w:proofErr w:type="spellStart"/>
      <w:r w:rsidRPr="007E4A1E">
        <w:rPr>
          <w:rFonts w:ascii="Calibri" w:hAnsi="Calibri"/>
          <w:lang w:val="en-GB"/>
        </w:rPr>
        <w:t>Sulan</w:t>
      </w:r>
      <w:proofErr w:type="spellEnd"/>
      <w:r w:rsidRPr="007E4A1E">
        <w:rPr>
          <w:rFonts w:ascii="Calibri" w:hAnsi="Calibri"/>
          <w:lang w:val="en-GB"/>
        </w:rPr>
        <w:t xml:space="preserve"> Dai, Chris Waters, Lidia </w:t>
      </w:r>
      <w:proofErr w:type="spellStart"/>
      <w:r w:rsidRPr="007E4A1E">
        <w:rPr>
          <w:rFonts w:ascii="Calibri" w:hAnsi="Calibri"/>
          <w:lang w:val="en-GB"/>
        </w:rPr>
        <w:t>Loukine</w:t>
      </w:r>
      <w:proofErr w:type="spellEnd"/>
      <w:r w:rsidRPr="007E4A1E">
        <w:rPr>
          <w:rFonts w:ascii="Calibri" w:hAnsi="Calibri"/>
          <w:lang w:val="en-GB"/>
        </w:rPr>
        <w:t xml:space="preserve">, Christina </w:t>
      </w:r>
      <w:proofErr w:type="spellStart"/>
      <w:r w:rsidRPr="007E4A1E">
        <w:rPr>
          <w:rFonts w:ascii="Calibri" w:hAnsi="Calibri"/>
          <w:lang w:val="en-GB"/>
        </w:rPr>
        <w:t>Bancej</w:t>
      </w:r>
      <w:proofErr w:type="spellEnd"/>
      <w:r w:rsidRPr="007E4A1E">
        <w:rPr>
          <w:rFonts w:ascii="Calibri" w:hAnsi="Calibri"/>
          <w:lang w:val="en-GB"/>
        </w:rPr>
        <w:t xml:space="preserve">, Susan Quach, </w:t>
      </w:r>
      <w:proofErr w:type="spellStart"/>
      <w:r w:rsidRPr="007E4A1E">
        <w:rPr>
          <w:rFonts w:ascii="Calibri" w:hAnsi="Calibri"/>
          <w:lang w:val="en-GB"/>
        </w:rPr>
        <w:t>Joellyn</w:t>
      </w:r>
      <w:proofErr w:type="spellEnd"/>
      <w:r w:rsidRPr="007E4A1E">
        <w:rPr>
          <w:rFonts w:ascii="Calibri" w:hAnsi="Calibri"/>
          <w:lang w:val="en-GB"/>
        </w:rPr>
        <w:t xml:space="preserve"> Ellison, et al. 2012. </w:t>
      </w:r>
      <w:proofErr w:type="gramStart"/>
      <w:r w:rsidRPr="007E4A1E">
        <w:rPr>
          <w:rFonts w:ascii="Calibri" w:hAnsi="Calibri"/>
          <w:lang w:val="en-GB"/>
        </w:rPr>
        <w:t>“Diagnosed Hypertension in Canada: Incidence, Prevalence and Associated Mortality.”</w:t>
      </w:r>
      <w:proofErr w:type="gramEnd"/>
      <w:r w:rsidRPr="007E4A1E">
        <w:rPr>
          <w:rFonts w:ascii="Calibri" w:hAnsi="Calibri"/>
          <w:lang w:val="en-GB"/>
        </w:rPr>
        <w:t xml:space="preserve"> </w:t>
      </w:r>
      <w:r w:rsidRPr="007E4A1E">
        <w:rPr>
          <w:rFonts w:ascii="Calibri" w:hAnsi="Calibri"/>
          <w:i/>
          <w:iCs/>
          <w:lang w:val="en-GB"/>
        </w:rPr>
        <w:t>Canadian Medical Association Journal</w:t>
      </w:r>
      <w:r w:rsidRPr="007E4A1E">
        <w:rPr>
          <w:rFonts w:ascii="Calibri" w:hAnsi="Calibri"/>
          <w:lang w:val="en-GB"/>
        </w:rPr>
        <w:t xml:space="preserve"> 184 (1): E49–E56.</w:t>
      </w:r>
    </w:p>
    <w:p w:rsidR="007E4A1E" w:rsidRPr="007E4A1E" w:rsidRDefault="007E4A1E" w:rsidP="007E4A1E">
      <w:pPr>
        <w:pStyle w:val="Literaturverzeichnis"/>
        <w:rPr>
          <w:rFonts w:ascii="Calibri" w:hAnsi="Calibri"/>
        </w:rPr>
      </w:pPr>
      <w:proofErr w:type="spellStart"/>
      <w:proofErr w:type="gramStart"/>
      <w:r w:rsidRPr="007E4A1E">
        <w:rPr>
          <w:rFonts w:ascii="Calibri" w:hAnsi="Calibri"/>
          <w:lang w:val="en-GB"/>
        </w:rPr>
        <w:t>Ruigomez</w:t>
      </w:r>
      <w:proofErr w:type="spellEnd"/>
      <w:r w:rsidRPr="007E4A1E">
        <w:rPr>
          <w:rFonts w:ascii="Calibri" w:hAnsi="Calibri"/>
          <w:lang w:val="en-GB"/>
        </w:rPr>
        <w:t>, A. 2005.</w:t>
      </w:r>
      <w:proofErr w:type="gramEnd"/>
      <w:r w:rsidRPr="007E4A1E">
        <w:rPr>
          <w:rFonts w:ascii="Calibri" w:hAnsi="Calibri"/>
          <w:lang w:val="en-GB"/>
        </w:rPr>
        <w:t xml:space="preserve"> “Chest Pain in General Practice: Incidence, Comorbidity and Mortality.” </w:t>
      </w:r>
      <w:r w:rsidRPr="007E4A1E">
        <w:rPr>
          <w:rFonts w:ascii="Calibri" w:hAnsi="Calibri"/>
          <w:i/>
          <w:iCs/>
        </w:rPr>
        <w:t>Family Practice</w:t>
      </w:r>
      <w:r w:rsidRPr="007E4A1E">
        <w:rPr>
          <w:rFonts w:ascii="Calibri" w:hAnsi="Calibri"/>
        </w:rPr>
        <w:t xml:space="preserve"> 23 (2): 167–74. doi:10.1093/</w:t>
      </w:r>
      <w:proofErr w:type="spellStart"/>
      <w:r w:rsidRPr="007E4A1E">
        <w:rPr>
          <w:rFonts w:ascii="Calibri" w:hAnsi="Calibri"/>
        </w:rPr>
        <w:t>fampra</w:t>
      </w:r>
      <w:proofErr w:type="spellEnd"/>
      <w:r w:rsidRPr="007E4A1E">
        <w:rPr>
          <w:rFonts w:ascii="Calibri" w:hAnsi="Calibri"/>
        </w:rPr>
        <w:t>/cmi124.</w:t>
      </w:r>
    </w:p>
    <w:p w:rsidR="007E4A1E" w:rsidRPr="007E4A1E" w:rsidRDefault="007E4A1E" w:rsidP="007E4A1E">
      <w:pPr>
        <w:pStyle w:val="Literaturverzeichnis"/>
        <w:rPr>
          <w:rFonts w:ascii="Calibri" w:hAnsi="Calibri"/>
          <w:lang w:val="en-GB"/>
        </w:rPr>
      </w:pPr>
      <w:r w:rsidRPr="007E4A1E">
        <w:rPr>
          <w:rFonts w:ascii="Calibri" w:hAnsi="Calibri"/>
        </w:rPr>
        <w:t xml:space="preserve">SAMW. 2016. “Steuerung Der Anzahl Und Der Verteilung von Ärztinnen Und Ärzten.” </w:t>
      </w:r>
      <w:proofErr w:type="gramStart"/>
      <w:r w:rsidRPr="007E4A1E">
        <w:rPr>
          <w:rFonts w:ascii="Calibri" w:hAnsi="Calibri"/>
          <w:lang w:val="en-GB"/>
        </w:rPr>
        <w:t>Accessed December 6.</w:t>
      </w:r>
      <w:proofErr w:type="gramEnd"/>
      <w:r w:rsidRPr="007E4A1E">
        <w:rPr>
          <w:rFonts w:ascii="Calibri" w:hAnsi="Calibri"/>
          <w:lang w:val="en-GB"/>
        </w:rPr>
        <w:t xml:space="preserve"> http://www.samw.ch/dam/jcr:0f4d6172-5329-4e87-ad07-bdef13af4e49/SAMW_Comms_AerzteZahl_16_D_fWeb-kl.pdf.</w:t>
      </w:r>
    </w:p>
    <w:p w:rsidR="007E4A1E" w:rsidRPr="007E4A1E" w:rsidRDefault="007E4A1E" w:rsidP="007E4A1E">
      <w:pPr>
        <w:pStyle w:val="Literaturverzeichnis"/>
        <w:rPr>
          <w:rFonts w:ascii="Calibri" w:hAnsi="Calibri"/>
          <w:lang w:val="en-GB"/>
        </w:rPr>
      </w:pPr>
      <w:r w:rsidRPr="007E4A1E">
        <w:rPr>
          <w:rFonts w:ascii="Calibri" w:hAnsi="Calibri"/>
          <w:lang w:val="en-GB"/>
        </w:rPr>
        <w:t>Skinner, Jonathan. 2011. “Causes and Consequences of Regional Variations in Health Care</w:t>
      </w:r>
      <w:r>
        <w:rPr>
          <w:rFonts w:ascii="Calibri" w:hAnsi="Calibri"/>
          <w:lang w:val="en-GB"/>
        </w:rPr>
        <w:t>."</w:t>
      </w:r>
      <w:r w:rsidRPr="007E4A1E">
        <w:rPr>
          <w:rFonts w:ascii="Calibri" w:hAnsi="Calibri"/>
          <w:lang w:val="en-GB"/>
        </w:rPr>
        <w:t xml:space="preserve"> </w:t>
      </w:r>
      <w:proofErr w:type="gramStart"/>
      <w:r w:rsidRPr="007E4A1E">
        <w:rPr>
          <w:rFonts w:ascii="Calibri" w:hAnsi="Calibri"/>
          <w:lang w:val="en-GB"/>
        </w:rPr>
        <w:t xml:space="preserve">In </w:t>
      </w:r>
      <w:r w:rsidRPr="007E4A1E">
        <w:rPr>
          <w:rFonts w:ascii="Calibri" w:hAnsi="Calibri"/>
          <w:i/>
          <w:iCs/>
          <w:lang w:val="en-GB"/>
        </w:rPr>
        <w:t>Handbook of Health Economics</w:t>
      </w:r>
      <w:r w:rsidRPr="007E4A1E">
        <w:rPr>
          <w:rFonts w:ascii="Calibri" w:hAnsi="Calibri"/>
          <w:lang w:val="en-GB"/>
        </w:rPr>
        <w:t>, 2:45–93.</w:t>
      </w:r>
      <w:proofErr w:type="gramEnd"/>
      <w:r w:rsidRPr="007E4A1E">
        <w:rPr>
          <w:rFonts w:ascii="Calibri" w:hAnsi="Calibri"/>
          <w:lang w:val="en-GB"/>
        </w:rPr>
        <w:t xml:space="preserve"> </w:t>
      </w:r>
      <w:proofErr w:type="gramStart"/>
      <w:r w:rsidRPr="007E4A1E">
        <w:rPr>
          <w:rFonts w:ascii="Calibri" w:hAnsi="Calibri"/>
          <w:lang w:val="en-GB"/>
        </w:rPr>
        <w:t>Elsevier.</w:t>
      </w:r>
      <w:proofErr w:type="gramEnd"/>
      <w:r w:rsidRPr="007E4A1E">
        <w:rPr>
          <w:rFonts w:ascii="Calibri" w:hAnsi="Calibri"/>
          <w:lang w:val="en-GB"/>
        </w:rPr>
        <w:t xml:space="preserve"> http://linkinghub.elsevier.com/retrieve/pii/B9780444535924000025.</w:t>
      </w:r>
    </w:p>
    <w:p w:rsidR="007E4A1E" w:rsidRPr="007E4A1E" w:rsidRDefault="007E4A1E" w:rsidP="007E4A1E">
      <w:pPr>
        <w:pStyle w:val="Literaturverzeichnis"/>
        <w:rPr>
          <w:rFonts w:ascii="Calibri" w:hAnsi="Calibri"/>
        </w:rPr>
      </w:pPr>
      <w:proofErr w:type="spellStart"/>
      <w:proofErr w:type="gramStart"/>
      <w:r w:rsidRPr="007E4A1E">
        <w:rPr>
          <w:rFonts w:ascii="Calibri" w:hAnsi="Calibri"/>
          <w:lang w:val="en-GB"/>
        </w:rPr>
        <w:t>Smolina</w:t>
      </w:r>
      <w:proofErr w:type="spellEnd"/>
      <w:r w:rsidRPr="007E4A1E">
        <w:rPr>
          <w:rFonts w:ascii="Calibri" w:hAnsi="Calibri"/>
          <w:lang w:val="en-GB"/>
        </w:rPr>
        <w:t xml:space="preserve">, Kate, F. Lucy Wright, Mike Rayner, and Michael J. </w:t>
      </w:r>
      <w:proofErr w:type="spellStart"/>
      <w:r w:rsidRPr="007E4A1E">
        <w:rPr>
          <w:rFonts w:ascii="Calibri" w:hAnsi="Calibri"/>
          <w:lang w:val="en-GB"/>
        </w:rPr>
        <w:t>Goldacre</w:t>
      </w:r>
      <w:proofErr w:type="spellEnd"/>
      <w:r w:rsidRPr="007E4A1E">
        <w:rPr>
          <w:rFonts w:ascii="Calibri" w:hAnsi="Calibri"/>
          <w:lang w:val="en-GB"/>
        </w:rPr>
        <w:t>.</w:t>
      </w:r>
      <w:proofErr w:type="gramEnd"/>
      <w:r w:rsidRPr="007E4A1E">
        <w:rPr>
          <w:rFonts w:ascii="Calibri" w:hAnsi="Calibri"/>
          <w:lang w:val="en-GB"/>
        </w:rPr>
        <w:t xml:space="preserve"> 2012. “Long-Term Survival and Recurrence </w:t>
      </w:r>
      <w:proofErr w:type="gramStart"/>
      <w:r w:rsidRPr="007E4A1E">
        <w:rPr>
          <w:rFonts w:ascii="Calibri" w:hAnsi="Calibri"/>
          <w:lang w:val="en-GB"/>
        </w:rPr>
        <w:t>After</w:t>
      </w:r>
      <w:proofErr w:type="gramEnd"/>
      <w:r w:rsidRPr="007E4A1E">
        <w:rPr>
          <w:rFonts w:ascii="Calibri" w:hAnsi="Calibri"/>
          <w:lang w:val="en-GB"/>
        </w:rPr>
        <w:t xml:space="preserve"> Acute Myocardial Infarction in England, 2004 to 2010.” </w:t>
      </w:r>
      <w:proofErr w:type="spellStart"/>
      <w:r w:rsidRPr="007E4A1E">
        <w:rPr>
          <w:rFonts w:ascii="Calibri" w:hAnsi="Calibri"/>
          <w:i/>
          <w:iCs/>
        </w:rPr>
        <w:t>Circulation</w:t>
      </w:r>
      <w:proofErr w:type="spellEnd"/>
      <w:r w:rsidRPr="007E4A1E">
        <w:rPr>
          <w:rFonts w:ascii="Calibri" w:hAnsi="Calibri"/>
          <w:i/>
          <w:iCs/>
        </w:rPr>
        <w:t xml:space="preserve">: </w:t>
      </w:r>
      <w:proofErr w:type="spellStart"/>
      <w:r w:rsidRPr="007E4A1E">
        <w:rPr>
          <w:rFonts w:ascii="Calibri" w:hAnsi="Calibri"/>
          <w:i/>
          <w:iCs/>
        </w:rPr>
        <w:t>Cardiovascular</w:t>
      </w:r>
      <w:proofErr w:type="spellEnd"/>
      <w:r w:rsidRPr="007E4A1E">
        <w:rPr>
          <w:rFonts w:ascii="Calibri" w:hAnsi="Calibri"/>
          <w:i/>
          <w:iCs/>
        </w:rPr>
        <w:t xml:space="preserve"> Quality </w:t>
      </w:r>
      <w:proofErr w:type="spellStart"/>
      <w:r w:rsidRPr="007E4A1E">
        <w:rPr>
          <w:rFonts w:ascii="Calibri" w:hAnsi="Calibri"/>
          <w:i/>
          <w:iCs/>
        </w:rPr>
        <w:t>and</w:t>
      </w:r>
      <w:proofErr w:type="spellEnd"/>
      <w:r w:rsidRPr="007E4A1E">
        <w:rPr>
          <w:rFonts w:ascii="Calibri" w:hAnsi="Calibri"/>
          <w:i/>
          <w:iCs/>
        </w:rPr>
        <w:t xml:space="preserve"> Outcomes</w:t>
      </w:r>
      <w:r w:rsidRPr="007E4A1E">
        <w:rPr>
          <w:rFonts w:ascii="Calibri" w:hAnsi="Calibri"/>
        </w:rPr>
        <w:t xml:space="preserve"> 5 (4): 532–40. doi:10.1161/CIRCOUTCOMES.111.964700.</w:t>
      </w:r>
    </w:p>
    <w:p w:rsidR="00D641FA" w:rsidRPr="006D712A" w:rsidRDefault="007E4A1E" w:rsidP="008018D9">
      <w:pPr>
        <w:rPr>
          <w:lang w:val="en-GB"/>
        </w:rPr>
      </w:pPr>
      <w:r>
        <w:rPr>
          <w:lang w:val="en-GB"/>
        </w:rPr>
        <w:fldChar w:fldCharType="end"/>
      </w:r>
    </w:p>
    <w:sectPr w:rsidR="00D641FA" w:rsidRPr="006D712A" w:rsidSect="006C29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92" w:rsidRDefault="00736692" w:rsidP="00736692">
      <w:pPr>
        <w:spacing w:after="0" w:line="240" w:lineRule="auto"/>
      </w:pPr>
      <w:r>
        <w:separator/>
      </w:r>
    </w:p>
  </w:endnote>
  <w:endnote w:type="continuationSeparator" w:id="0">
    <w:p w:rsidR="00736692" w:rsidRDefault="00736692" w:rsidP="0073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92" w:rsidRDefault="00736692" w:rsidP="00736692">
      <w:pPr>
        <w:spacing w:after="0" w:line="240" w:lineRule="auto"/>
      </w:pPr>
      <w:r>
        <w:separator/>
      </w:r>
    </w:p>
  </w:footnote>
  <w:footnote w:type="continuationSeparator" w:id="0">
    <w:p w:rsidR="00736692" w:rsidRDefault="00736692" w:rsidP="00736692">
      <w:pPr>
        <w:spacing w:after="0" w:line="240" w:lineRule="auto"/>
      </w:pPr>
      <w:r>
        <w:continuationSeparator/>
      </w:r>
    </w:p>
  </w:footnote>
  <w:footnote w:id="1">
    <w:p w:rsidR="00597E19" w:rsidRPr="00DB18E2" w:rsidRDefault="00597E19" w:rsidP="00597E19">
      <w:pPr>
        <w:pStyle w:val="Funotentext"/>
        <w:rPr>
          <w:lang w:val="de-CH"/>
        </w:rPr>
      </w:pPr>
      <w:r>
        <w:rPr>
          <w:rStyle w:val="Funotenzeichen"/>
        </w:rPr>
        <w:footnoteRef/>
      </w:r>
      <w:r>
        <w:t xml:space="preserve"> </w:t>
      </w:r>
      <w:r w:rsidRPr="00DB18E2">
        <w:t>http://www.escardio.org/Education/Practice-Tools/CVD-prevention-toolbox/SCORE-Risk-Charts</w:t>
      </w:r>
    </w:p>
  </w:footnote>
  <w:footnote w:id="2">
    <w:p w:rsidR="00597E19" w:rsidRPr="00DB18E2" w:rsidRDefault="00597E19" w:rsidP="00597E19">
      <w:pPr>
        <w:pStyle w:val="Funotentext"/>
        <w:rPr>
          <w:lang w:val="de-CH"/>
        </w:rPr>
      </w:pPr>
      <w:r>
        <w:rPr>
          <w:rStyle w:val="Funotenzeichen"/>
        </w:rPr>
        <w:footnoteRef/>
      </w:r>
      <w:r w:rsidRPr="00DB18E2">
        <w:rPr>
          <w:lang w:val="de-CH"/>
        </w:rPr>
        <w:t xml:space="preserve"> https://www.agla.ch/risikoberechnung/esc-score</w:t>
      </w:r>
    </w:p>
  </w:footnote>
  <w:footnote w:id="3">
    <w:p w:rsidR="00597E19" w:rsidRPr="00D12BEC" w:rsidRDefault="00597E19" w:rsidP="00597E19">
      <w:pPr>
        <w:pStyle w:val="Funotentext"/>
        <w:rPr>
          <w:lang w:val="de-CH"/>
        </w:rPr>
      </w:pPr>
      <w:r>
        <w:rPr>
          <w:rStyle w:val="Funotenzeichen"/>
        </w:rPr>
        <w:footnoteRef/>
      </w:r>
      <w:r w:rsidRPr="00D12BEC">
        <w:rPr>
          <w:lang w:val="de-CH"/>
        </w:rPr>
        <w:t xml:space="preserve"> https://www.pxweb.bfs.admin.ch/Selection.aspx?px_language=fr&amp;px_db=px-x-0102020300_101&amp;px_tableid=px-x-0102020300_101\px-x-0102020300_101.px&amp;px_type=PX</w:t>
      </w:r>
    </w:p>
  </w:footnote>
  <w:footnote w:id="4">
    <w:p w:rsidR="00597E19" w:rsidRPr="00D12BEC" w:rsidRDefault="00597E19" w:rsidP="00597E19">
      <w:pPr>
        <w:pStyle w:val="Funotentext"/>
        <w:rPr>
          <w:lang w:val="de-CH"/>
        </w:rPr>
      </w:pPr>
      <w:r>
        <w:rPr>
          <w:rStyle w:val="Funotenzeichen"/>
        </w:rPr>
        <w:footnoteRef/>
      </w:r>
      <w:r w:rsidRPr="00D12BEC">
        <w:rPr>
          <w:lang w:val="de-CH"/>
        </w:rPr>
        <w:t xml:space="preserve"> http://www.obsan.admin.ch/de/indikatoren/bluthochdruck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049"/>
    <w:multiLevelType w:val="hybridMultilevel"/>
    <w:tmpl w:val="BF3E27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39912C7"/>
    <w:multiLevelType w:val="hybridMultilevel"/>
    <w:tmpl w:val="22463D26"/>
    <w:lvl w:ilvl="0" w:tplc="3AAEB034">
      <w:start w:val="1"/>
      <w:numFmt w:val="decimal"/>
      <w:lvlText w:val="(%1)"/>
      <w:lvlJc w:val="left"/>
      <w:pPr>
        <w:tabs>
          <w:tab w:val="num" w:pos="360"/>
        </w:tabs>
        <w:ind w:left="360" w:hanging="360"/>
      </w:pPr>
    </w:lvl>
    <w:lvl w:ilvl="1" w:tplc="5532D410" w:tentative="1">
      <w:start w:val="1"/>
      <w:numFmt w:val="decimal"/>
      <w:lvlText w:val="(%2)"/>
      <w:lvlJc w:val="left"/>
      <w:pPr>
        <w:tabs>
          <w:tab w:val="num" w:pos="1080"/>
        </w:tabs>
        <w:ind w:left="1080" w:hanging="360"/>
      </w:pPr>
    </w:lvl>
    <w:lvl w:ilvl="2" w:tplc="DFE8704A" w:tentative="1">
      <w:start w:val="1"/>
      <w:numFmt w:val="decimal"/>
      <w:lvlText w:val="(%3)"/>
      <w:lvlJc w:val="left"/>
      <w:pPr>
        <w:tabs>
          <w:tab w:val="num" w:pos="1800"/>
        </w:tabs>
        <w:ind w:left="1800" w:hanging="360"/>
      </w:pPr>
    </w:lvl>
    <w:lvl w:ilvl="3" w:tplc="6868D78E" w:tentative="1">
      <w:start w:val="1"/>
      <w:numFmt w:val="decimal"/>
      <w:lvlText w:val="(%4)"/>
      <w:lvlJc w:val="left"/>
      <w:pPr>
        <w:tabs>
          <w:tab w:val="num" w:pos="2520"/>
        </w:tabs>
        <w:ind w:left="2520" w:hanging="360"/>
      </w:pPr>
    </w:lvl>
    <w:lvl w:ilvl="4" w:tplc="0476A510" w:tentative="1">
      <w:start w:val="1"/>
      <w:numFmt w:val="decimal"/>
      <w:lvlText w:val="(%5)"/>
      <w:lvlJc w:val="left"/>
      <w:pPr>
        <w:tabs>
          <w:tab w:val="num" w:pos="3240"/>
        </w:tabs>
        <w:ind w:left="3240" w:hanging="360"/>
      </w:pPr>
    </w:lvl>
    <w:lvl w:ilvl="5" w:tplc="F054574C" w:tentative="1">
      <w:start w:val="1"/>
      <w:numFmt w:val="decimal"/>
      <w:lvlText w:val="(%6)"/>
      <w:lvlJc w:val="left"/>
      <w:pPr>
        <w:tabs>
          <w:tab w:val="num" w:pos="3960"/>
        </w:tabs>
        <w:ind w:left="3960" w:hanging="360"/>
      </w:pPr>
    </w:lvl>
    <w:lvl w:ilvl="6" w:tplc="813AF52E" w:tentative="1">
      <w:start w:val="1"/>
      <w:numFmt w:val="decimal"/>
      <w:lvlText w:val="(%7)"/>
      <w:lvlJc w:val="left"/>
      <w:pPr>
        <w:tabs>
          <w:tab w:val="num" w:pos="4680"/>
        </w:tabs>
        <w:ind w:left="4680" w:hanging="360"/>
      </w:pPr>
    </w:lvl>
    <w:lvl w:ilvl="7" w:tplc="977E2F40" w:tentative="1">
      <w:start w:val="1"/>
      <w:numFmt w:val="decimal"/>
      <w:lvlText w:val="(%8)"/>
      <w:lvlJc w:val="left"/>
      <w:pPr>
        <w:tabs>
          <w:tab w:val="num" w:pos="5400"/>
        </w:tabs>
        <w:ind w:left="5400" w:hanging="360"/>
      </w:pPr>
    </w:lvl>
    <w:lvl w:ilvl="8" w:tplc="F54C061A" w:tentative="1">
      <w:start w:val="1"/>
      <w:numFmt w:val="decimal"/>
      <w:lvlText w:val="(%9)"/>
      <w:lvlJc w:val="left"/>
      <w:pPr>
        <w:tabs>
          <w:tab w:val="num" w:pos="6120"/>
        </w:tabs>
        <w:ind w:left="6120" w:hanging="360"/>
      </w:pPr>
    </w:lvl>
  </w:abstractNum>
  <w:abstractNum w:abstractNumId="2">
    <w:nsid w:val="44B92454"/>
    <w:multiLevelType w:val="hybridMultilevel"/>
    <w:tmpl w:val="B49E850A"/>
    <w:lvl w:ilvl="0" w:tplc="75747F6E">
      <w:start w:val="1"/>
      <w:numFmt w:val="bullet"/>
      <w:lvlText w:val=""/>
      <w:lvlJc w:val="left"/>
      <w:pPr>
        <w:tabs>
          <w:tab w:val="num" w:pos="720"/>
        </w:tabs>
        <w:ind w:left="720" w:hanging="360"/>
      </w:pPr>
      <w:rPr>
        <w:rFonts w:ascii="Symbol" w:hAnsi="Symbol" w:hint="default"/>
      </w:rPr>
    </w:lvl>
    <w:lvl w:ilvl="1" w:tplc="FC108ED8" w:tentative="1">
      <w:start w:val="1"/>
      <w:numFmt w:val="bullet"/>
      <w:lvlText w:val=""/>
      <w:lvlJc w:val="left"/>
      <w:pPr>
        <w:tabs>
          <w:tab w:val="num" w:pos="1440"/>
        </w:tabs>
        <w:ind w:left="1440" w:hanging="360"/>
      </w:pPr>
      <w:rPr>
        <w:rFonts w:ascii="Symbol" w:hAnsi="Symbol" w:hint="default"/>
      </w:rPr>
    </w:lvl>
    <w:lvl w:ilvl="2" w:tplc="6DFCB7B2" w:tentative="1">
      <w:start w:val="1"/>
      <w:numFmt w:val="bullet"/>
      <w:lvlText w:val=""/>
      <w:lvlJc w:val="left"/>
      <w:pPr>
        <w:tabs>
          <w:tab w:val="num" w:pos="2160"/>
        </w:tabs>
        <w:ind w:left="2160" w:hanging="360"/>
      </w:pPr>
      <w:rPr>
        <w:rFonts w:ascii="Symbol" w:hAnsi="Symbol" w:hint="default"/>
      </w:rPr>
    </w:lvl>
    <w:lvl w:ilvl="3" w:tplc="DD8E223C" w:tentative="1">
      <w:start w:val="1"/>
      <w:numFmt w:val="bullet"/>
      <w:lvlText w:val=""/>
      <w:lvlJc w:val="left"/>
      <w:pPr>
        <w:tabs>
          <w:tab w:val="num" w:pos="2880"/>
        </w:tabs>
        <w:ind w:left="2880" w:hanging="360"/>
      </w:pPr>
      <w:rPr>
        <w:rFonts w:ascii="Symbol" w:hAnsi="Symbol" w:hint="default"/>
      </w:rPr>
    </w:lvl>
    <w:lvl w:ilvl="4" w:tplc="C372749C" w:tentative="1">
      <w:start w:val="1"/>
      <w:numFmt w:val="bullet"/>
      <w:lvlText w:val=""/>
      <w:lvlJc w:val="left"/>
      <w:pPr>
        <w:tabs>
          <w:tab w:val="num" w:pos="3600"/>
        </w:tabs>
        <w:ind w:left="3600" w:hanging="360"/>
      </w:pPr>
      <w:rPr>
        <w:rFonts w:ascii="Symbol" w:hAnsi="Symbol" w:hint="default"/>
      </w:rPr>
    </w:lvl>
    <w:lvl w:ilvl="5" w:tplc="F7B2F2CE" w:tentative="1">
      <w:start w:val="1"/>
      <w:numFmt w:val="bullet"/>
      <w:lvlText w:val=""/>
      <w:lvlJc w:val="left"/>
      <w:pPr>
        <w:tabs>
          <w:tab w:val="num" w:pos="4320"/>
        </w:tabs>
        <w:ind w:left="4320" w:hanging="360"/>
      </w:pPr>
      <w:rPr>
        <w:rFonts w:ascii="Symbol" w:hAnsi="Symbol" w:hint="default"/>
      </w:rPr>
    </w:lvl>
    <w:lvl w:ilvl="6" w:tplc="5644D018" w:tentative="1">
      <w:start w:val="1"/>
      <w:numFmt w:val="bullet"/>
      <w:lvlText w:val=""/>
      <w:lvlJc w:val="left"/>
      <w:pPr>
        <w:tabs>
          <w:tab w:val="num" w:pos="5040"/>
        </w:tabs>
        <w:ind w:left="5040" w:hanging="360"/>
      </w:pPr>
      <w:rPr>
        <w:rFonts w:ascii="Symbol" w:hAnsi="Symbol" w:hint="default"/>
      </w:rPr>
    </w:lvl>
    <w:lvl w:ilvl="7" w:tplc="A8BE13F0" w:tentative="1">
      <w:start w:val="1"/>
      <w:numFmt w:val="bullet"/>
      <w:lvlText w:val=""/>
      <w:lvlJc w:val="left"/>
      <w:pPr>
        <w:tabs>
          <w:tab w:val="num" w:pos="5760"/>
        </w:tabs>
        <w:ind w:left="5760" w:hanging="360"/>
      </w:pPr>
      <w:rPr>
        <w:rFonts w:ascii="Symbol" w:hAnsi="Symbol" w:hint="default"/>
      </w:rPr>
    </w:lvl>
    <w:lvl w:ilvl="8" w:tplc="504C04E4" w:tentative="1">
      <w:start w:val="1"/>
      <w:numFmt w:val="bullet"/>
      <w:lvlText w:val=""/>
      <w:lvlJc w:val="left"/>
      <w:pPr>
        <w:tabs>
          <w:tab w:val="num" w:pos="6480"/>
        </w:tabs>
        <w:ind w:left="6480" w:hanging="360"/>
      </w:pPr>
      <w:rPr>
        <w:rFonts w:ascii="Symbol" w:hAnsi="Symbol" w:hint="default"/>
      </w:rPr>
    </w:lvl>
  </w:abstractNum>
  <w:abstractNum w:abstractNumId="3">
    <w:nsid w:val="56000AB3"/>
    <w:multiLevelType w:val="hybridMultilevel"/>
    <w:tmpl w:val="7122B2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9A60597"/>
    <w:multiLevelType w:val="multilevel"/>
    <w:tmpl w:val="4140B06C"/>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067205C"/>
    <w:multiLevelType w:val="hybridMultilevel"/>
    <w:tmpl w:val="3F8AFB44"/>
    <w:lvl w:ilvl="0" w:tplc="040CB9E4">
      <w:start w:val="1"/>
      <w:numFmt w:val="bullet"/>
      <w:lvlText w:val=""/>
      <w:lvlJc w:val="left"/>
      <w:pPr>
        <w:tabs>
          <w:tab w:val="num" w:pos="720"/>
        </w:tabs>
        <w:ind w:left="720" w:hanging="360"/>
      </w:pPr>
      <w:rPr>
        <w:rFonts w:ascii="Symbol" w:hAnsi="Symbol" w:hint="default"/>
      </w:rPr>
    </w:lvl>
    <w:lvl w:ilvl="1" w:tplc="0EDC5D1A" w:tentative="1">
      <w:start w:val="1"/>
      <w:numFmt w:val="bullet"/>
      <w:lvlText w:val=""/>
      <w:lvlJc w:val="left"/>
      <w:pPr>
        <w:tabs>
          <w:tab w:val="num" w:pos="1440"/>
        </w:tabs>
        <w:ind w:left="1440" w:hanging="360"/>
      </w:pPr>
      <w:rPr>
        <w:rFonts w:ascii="Symbol" w:hAnsi="Symbol" w:hint="default"/>
      </w:rPr>
    </w:lvl>
    <w:lvl w:ilvl="2" w:tplc="113230EE" w:tentative="1">
      <w:start w:val="1"/>
      <w:numFmt w:val="bullet"/>
      <w:lvlText w:val=""/>
      <w:lvlJc w:val="left"/>
      <w:pPr>
        <w:tabs>
          <w:tab w:val="num" w:pos="2160"/>
        </w:tabs>
        <w:ind w:left="2160" w:hanging="360"/>
      </w:pPr>
      <w:rPr>
        <w:rFonts w:ascii="Symbol" w:hAnsi="Symbol" w:hint="default"/>
      </w:rPr>
    </w:lvl>
    <w:lvl w:ilvl="3" w:tplc="8AAC67F4" w:tentative="1">
      <w:start w:val="1"/>
      <w:numFmt w:val="bullet"/>
      <w:lvlText w:val=""/>
      <w:lvlJc w:val="left"/>
      <w:pPr>
        <w:tabs>
          <w:tab w:val="num" w:pos="2880"/>
        </w:tabs>
        <w:ind w:left="2880" w:hanging="360"/>
      </w:pPr>
      <w:rPr>
        <w:rFonts w:ascii="Symbol" w:hAnsi="Symbol" w:hint="default"/>
      </w:rPr>
    </w:lvl>
    <w:lvl w:ilvl="4" w:tplc="6BFC1A4A" w:tentative="1">
      <w:start w:val="1"/>
      <w:numFmt w:val="bullet"/>
      <w:lvlText w:val=""/>
      <w:lvlJc w:val="left"/>
      <w:pPr>
        <w:tabs>
          <w:tab w:val="num" w:pos="3600"/>
        </w:tabs>
        <w:ind w:left="3600" w:hanging="360"/>
      </w:pPr>
      <w:rPr>
        <w:rFonts w:ascii="Symbol" w:hAnsi="Symbol" w:hint="default"/>
      </w:rPr>
    </w:lvl>
    <w:lvl w:ilvl="5" w:tplc="D9262372" w:tentative="1">
      <w:start w:val="1"/>
      <w:numFmt w:val="bullet"/>
      <w:lvlText w:val=""/>
      <w:lvlJc w:val="left"/>
      <w:pPr>
        <w:tabs>
          <w:tab w:val="num" w:pos="4320"/>
        </w:tabs>
        <w:ind w:left="4320" w:hanging="360"/>
      </w:pPr>
      <w:rPr>
        <w:rFonts w:ascii="Symbol" w:hAnsi="Symbol" w:hint="default"/>
      </w:rPr>
    </w:lvl>
    <w:lvl w:ilvl="6" w:tplc="11B232E4" w:tentative="1">
      <w:start w:val="1"/>
      <w:numFmt w:val="bullet"/>
      <w:lvlText w:val=""/>
      <w:lvlJc w:val="left"/>
      <w:pPr>
        <w:tabs>
          <w:tab w:val="num" w:pos="5040"/>
        </w:tabs>
        <w:ind w:left="5040" w:hanging="360"/>
      </w:pPr>
      <w:rPr>
        <w:rFonts w:ascii="Symbol" w:hAnsi="Symbol" w:hint="default"/>
      </w:rPr>
    </w:lvl>
    <w:lvl w:ilvl="7" w:tplc="9B545886" w:tentative="1">
      <w:start w:val="1"/>
      <w:numFmt w:val="bullet"/>
      <w:lvlText w:val=""/>
      <w:lvlJc w:val="left"/>
      <w:pPr>
        <w:tabs>
          <w:tab w:val="num" w:pos="5760"/>
        </w:tabs>
        <w:ind w:left="5760" w:hanging="360"/>
      </w:pPr>
      <w:rPr>
        <w:rFonts w:ascii="Symbol" w:hAnsi="Symbol" w:hint="default"/>
      </w:rPr>
    </w:lvl>
    <w:lvl w:ilvl="8" w:tplc="995AA26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4"/>
  </w:num>
  <w:num w:numId="4">
    <w:abstractNumId w:val="0"/>
  </w:num>
  <w:num w:numId="5">
    <w:abstractNumId w:val="4"/>
  </w:num>
  <w:num w:numId="6">
    <w:abstractNumId w:val="4"/>
  </w:num>
  <w:num w:numId="7">
    <w:abstractNumId w:val="4"/>
  </w:num>
  <w:num w:numId="8">
    <w:abstractNumId w:val="4"/>
  </w:num>
  <w:num w:numId="9">
    <w:abstractNumId w:val="2"/>
  </w:num>
  <w:num w:numId="10">
    <w:abstractNumId w:val="3"/>
  </w:num>
  <w:num w:numId="11">
    <w:abstractNumId w:val="4"/>
  </w:num>
  <w:num w:numId="12">
    <w:abstractNumId w:val="5"/>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FA"/>
    <w:rsid w:val="0001124C"/>
    <w:rsid w:val="00036063"/>
    <w:rsid w:val="000536AF"/>
    <w:rsid w:val="00073929"/>
    <w:rsid w:val="00097E0F"/>
    <w:rsid w:val="000B5DF7"/>
    <w:rsid w:val="001172E9"/>
    <w:rsid w:val="00130CF0"/>
    <w:rsid w:val="00137881"/>
    <w:rsid w:val="001564C2"/>
    <w:rsid w:val="001C30E7"/>
    <w:rsid w:val="001E1B49"/>
    <w:rsid w:val="00203637"/>
    <w:rsid w:val="002708E3"/>
    <w:rsid w:val="003D2484"/>
    <w:rsid w:val="003E2584"/>
    <w:rsid w:val="0045685A"/>
    <w:rsid w:val="00460322"/>
    <w:rsid w:val="00474C92"/>
    <w:rsid w:val="004B0348"/>
    <w:rsid w:val="004E61C5"/>
    <w:rsid w:val="00510026"/>
    <w:rsid w:val="0054176A"/>
    <w:rsid w:val="00594A24"/>
    <w:rsid w:val="00597E19"/>
    <w:rsid w:val="00604142"/>
    <w:rsid w:val="00636D7B"/>
    <w:rsid w:val="00693283"/>
    <w:rsid w:val="006A42EF"/>
    <w:rsid w:val="006C2994"/>
    <w:rsid w:val="006D712A"/>
    <w:rsid w:val="006F6F88"/>
    <w:rsid w:val="00736692"/>
    <w:rsid w:val="007432CF"/>
    <w:rsid w:val="0074431F"/>
    <w:rsid w:val="007B3DD5"/>
    <w:rsid w:val="007E4A1E"/>
    <w:rsid w:val="008018D9"/>
    <w:rsid w:val="0084378E"/>
    <w:rsid w:val="00853C38"/>
    <w:rsid w:val="008912C6"/>
    <w:rsid w:val="00896C77"/>
    <w:rsid w:val="008C6948"/>
    <w:rsid w:val="009247EE"/>
    <w:rsid w:val="00967474"/>
    <w:rsid w:val="009733B6"/>
    <w:rsid w:val="009830F8"/>
    <w:rsid w:val="00993EBB"/>
    <w:rsid w:val="009C29DC"/>
    <w:rsid w:val="00A32A7A"/>
    <w:rsid w:val="00A35651"/>
    <w:rsid w:val="00A46C10"/>
    <w:rsid w:val="00A62FCA"/>
    <w:rsid w:val="00A83F9D"/>
    <w:rsid w:val="00A9178C"/>
    <w:rsid w:val="00A96F07"/>
    <w:rsid w:val="00B15E0B"/>
    <w:rsid w:val="00B967D9"/>
    <w:rsid w:val="00BC5560"/>
    <w:rsid w:val="00BD7A4F"/>
    <w:rsid w:val="00BE54DA"/>
    <w:rsid w:val="00C04F00"/>
    <w:rsid w:val="00C22B67"/>
    <w:rsid w:val="00C34C83"/>
    <w:rsid w:val="00C54EE7"/>
    <w:rsid w:val="00CA12E9"/>
    <w:rsid w:val="00CC2286"/>
    <w:rsid w:val="00D11143"/>
    <w:rsid w:val="00D12BEC"/>
    <w:rsid w:val="00D239F0"/>
    <w:rsid w:val="00D641FA"/>
    <w:rsid w:val="00DA3606"/>
    <w:rsid w:val="00DB18E2"/>
    <w:rsid w:val="00E157BE"/>
    <w:rsid w:val="00E969AC"/>
    <w:rsid w:val="00EA693A"/>
    <w:rsid w:val="00EE23F0"/>
    <w:rsid w:val="00EF2C42"/>
    <w:rsid w:val="00F227D4"/>
    <w:rsid w:val="00F4320F"/>
    <w:rsid w:val="00FA3BA2"/>
    <w:rsid w:val="00FB1583"/>
    <w:rsid w:val="00FD09AF"/>
    <w:rsid w:val="00FE0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tandard"/>
    <w:rsid w:val="00E969AC"/>
    <w:pPr>
      <w:widowControl w:val="0"/>
      <w:numPr>
        <w:numId w:val="1"/>
      </w:numPr>
      <w:autoSpaceDE w:val="0"/>
      <w:autoSpaceDN w:val="0"/>
      <w:adjustRightInd w:val="0"/>
      <w:spacing w:after="240" w:line="280" w:lineRule="exact"/>
    </w:pPr>
    <w:rPr>
      <w:rFonts w:ascii="Verdana" w:eastAsia="Times New Roman" w:hAnsi="Verdana" w:cs="Times New Roman"/>
      <w:b/>
      <w:szCs w:val="20"/>
      <w:lang w:val="en-GB" w:eastAsia="de-CH"/>
    </w:rPr>
  </w:style>
  <w:style w:type="paragraph" w:customStyle="1" w:styleId="SNFTITEL11">
    <w:name w:val="SNF_TITEL 1.1."/>
    <w:basedOn w:val="Standard"/>
    <w:next w:val="Standard"/>
    <w:rsid w:val="00E969AC"/>
    <w:pPr>
      <w:numPr>
        <w:ilvl w:val="1"/>
        <w:numId w:val="1"/>
      </w:numPr>
      <w:spacing w:after="120" w:line="280" w:lineRule="exact"/>
    </w:pPr>
    <w:rPr>
      <w:rFonts w:ascii="Verdana" w:eastAsia="Times New Roman" w:hAnsi="Verdana" w:cs="Times New Roman"/>
      <w:b/>
      <w:color w:val="000000"/>
      <w:sz w:val="18"/>
      <w:szCs w:val="20"/>
      <w:lang w:val="en-GB" w:eastAsia="de-CH"/>
    </w:rPr>
  </w:style>
  <w:style w:type="paragraph" w:customStyle="1" w:styleId="SNFTITEL111">
    <w:name w:val="SNF_TITEL 1.1.1."/>
    <w:basedOn w:val="Standard"/>
    <w:next w:val="Standard"/>
    <w:rsid w:val="00E969AC"/>
    <w:pPr>
      <w:numPr>
        <w:ilvl w:val="2"/>
        <w:numId w:val="1"/>
      </w:numPr>
      <w:tabs>
        <w:tab w:val="left" w:pos="737"/>
      </w:tabs>
      <w:spacing w:after="120" w:line="280" w:lineRule="exact"/>
    </w:pPr>
    <w:rPr>
      <w:rFonts w:ascii="Verdana" w:eastAsia="Times New Roman" w:hAnsi="Verdana" w:cs="Times New Roman"/>
      <w:b/>
      <w:color w:val="818181"/>
      <w:sz w:val="18"/>
      <w:szCs w:val="20"/>
      <w:lang w:val="en-GB" w:eastAsia="de-CH"/>
    </w:rPr>
  </w:style>
  <w:style w:type="paragraph" w:styleId="Funotentext">
    <w:name w:val="footnote text"/>
    <w:basedOn w:val="Standard"/>
    <w:link w:val="FunotentextZchn"/>
    <w:uiPriority w:val="99"/>
    <w:semiHidden/>
    <w:rsid w:val="00736692"/>
    <w:pPr>
      <w:spacing w:after="0" w:line="280" w:lineRule="exact"/>
    </w:pPr>
    <w:rPr>
      <w:rFonts w:ascii="Verdana" w:hAnsi="Verdana"/>
      <w:sz w:val="16"/>
      <w:szCs w:val="20"/>
      <w:lang w:val="en-GB"/>
    </w:rPr>
  </w:style>
  <w:style w:type="character" w:customStyle="1" w:styleId="FunotentextZchn">
    <w:name w:val="Fußnotentext Zchn"/>
    <w:basedOn w:val="Absatz-Standardschriftart"/>
    <w:link w:val="Funotentext"/>
    <w:uiPriority w:val="99"/>
    <w:semiHidden/>
    <w:rsid w:val="00736692"/>
    <w:rPr>
      <w:rFonts w:ascii="Verdana" w:hAnsi="Verdana"/>
      <w:sz w:val="16"/>
      <w:szCs w:val="20"/>
      <w:lang w:val="en-GB"/>
    </w:rPr>
  </w:style>
  <w:style w:type="character" w:styleId="Funotenzeichen">
    <w:name w:val="footnote reference"/>
    <w:basedOn w:val="Absatz-Standardschriftart"/>
    <w:uiPriority w:val="99"/>
    <w:semiHidden/>
    <w:unhideWhenUsed/>
    <w:rsid w:val="00736692"/>
    <w:rPr>
      <w:vertAlign w:val="superscript"/>
    </w:rPr>
  </w:style>
  <w:style w:type="paragraph" w:styleId="Sprechblasentext">
    <w:name w:val="Balloon Text"/>
    <w:basedOn w:val="Standard"/>
    <w:link w:val="SprechblasentextZchn"/>
    <w:uiPriority w:val="99"/>
    <w:semiHidden/>
    <w:unhideWhenUsed/>
    <w:rsid w:val="00973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3B6"/>
    <w:rPr>
      <w:rFonts w:ascii="Tahoma" w:hAnsi="Tahoma" w:cs="Tahoma"/>
      <w:sz w:val="16"/>
      <w:szCs w:val="16"/>
    </w:rPr>
  </w:style>
  <w:style w:type="character" w:styleId="Kommentarzeichen">
    <w:name w:val="annotation reference"/>
    <w:basedOn w:val="Absatz-Standardschriftart"/>
    <w:uiPriority w:val="99"/>
    <w:semiHidden/>
    <w:unhideWhenUsed/>
    <w:rsid w:val="00B967D9"/>
    <w:rPr>
      <w:sz w:val="16"/>
      <w:szCs w:val="16"/>
    </w:rPr>
  </w:style>
  <w:style w:type="paragraph" w:styleId="Kommentartext">
    <w:name w:val="annotation text"/>
    <w:basedOn w:val="Standard"/>
    <w:link w:val="KommentartextZchn"/>
    <w:uiPriority w:val="99"/>
    <w:semiHidden/>
    <w:unhideWhenUsed/>
    <w:rsid w:val="00B967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67D9"/>
    <w:rPr>
      <w:sz w:val="20"/>
      <w:szCs w:val="20"/>
    </w:rPr>
  </w:style>
  <w:style w:type="paragraph" w:styleId="Kommentarthema">
    <w:name w:val="annotation subject"/>
    <w:basedOn w:val="Kommentartext"/>
    <w:next w:val="Kommentartext"/>
    <w:link w:val="KommentarthemaZchn"/>
    <w:uiPriority w:val="99"/>
    <w:semiHidden/>
    <w:unhideWhenUsed/>
    <w:rsid w:val="00B967D9"/>
    <w:rPr>
      <w:b/>
      <w:bCs/>
    </w:rPr>
  </w:style>
  <w:style w:type="character" w:customStyle="1" w:styleId="KommentarthemaZchn">
    <w:name w:val="Kommentarthema Zchn"/>
    <w:basedOn w:val="KommentartextZchn"/>
    <w:link w:val="Kommentarthema"/>
    <w:uiPriority w:val="99"/>
    <w:semiHidden/>
    <w:rsid w:val="00B967D9"/>
    <w:rPr>
      <w:b/>
      <w:bCs/>
      <w:sz w:val="20"/>
      <w:szCs w:val="20"/>
    </w:rPr>
  </w:style>
  <w:style w:type="paragraph" w:styleId="Literaturverzeichnis">
    <w:name w:val="Bibliography"/>
    <w:basedOn w:val="Standard"/>
    <w:next w:val="Standard"/>
    <w:uiPriority w:val="37"/>
    <w:unhideWhenUsed/>
    <w:rsid w:val="00BD7A4F"/>
    <w:pPr>
      <w:spacing w:after="0" w:line="240" w:lineRule="auto"/>
      <w:ind w:left="720" w:hanging="720"/>
    </w:pPr>
  </w:style>
  <w:style w:type="character" w:styleId="Hyperlink">
    <w:name w:val="Hyperlink"/>
    <w:basedOn w:val="Absatz-Standardschriftart"/>
    <w:uiPriority w:val="99"/>
    <w:unhideWhenUsed/>
    <w:rsid w:val="004E61C5"/>
    <w:rPr>
      <w:color w:val="0000FF" w:themeColor="hyperlink"/>
      <w:u w:val="single"/>
    </w:rPr>
  </w:style>
  <w:style w:type="paragraph" w:styleId="Listenabsatz">
    <w:name w:val="List Paragraph"/>
    <w:basedOn w:val="Standard"/>
    <w:uiPriority w:val="34"/>
    <w:qFormat/>
    <w:rsid w:val="004B0348"/>
    <w:pPr>
      <w:ind w:left="720"/>
      <w:contextualSpacing/>
    </w:pPr>
  </w:style>
  <w:style w:type="paragraph" w:styleId="Beschriftung">
    <w:name w:val="caption"/>
    <w:basedOn w:val="Standard"/>
    <w:next w:val="Standard"/>
    <w:uiPriority w:val="35"/>
    <w:unhideWhenUsed/>
    <w:qFormat/>
    <w:rsid w:val="00130CF0"/>
    <w:pPr>
      <w:spacing w:line="240" w:lineRule="auto"/>
    </w:pPr>
    <w:rPr>
      <w:b/>
      <w:bCs/>
      <w:color w:val="4F81BD" w:themeColor="accent1"/>
      <w:sz w:val="18"/>
      <w:szCs w:val="18"/>
    </w:rPr>
  </w:style>
  <w:style w:type="paragraph" w:customStyle="1" w:styleId="SNFGRUNDTEXT">
    <w:name w:val="SNF_GRUNDTEXT"/>
    <w:basedOn w:val="Standard"/>
    <w:link w:val="SNFGRUNDTEXTZchn"/>
    <w:uiPriority w:val="99"/>
    <w:rsid w:val="00B15E0B"/>
    <w:pPr>
      <w:spacing w:after="0" w:line="280" w:lineRule="exact"/>
      <w:jc w:val="both"/>
    </w:pPr>
    <w:rPr>
      <w:rFonts w:ascii="Bookman Old Style" w:eastAsia="Times New Roman" w:hAnsi="Bookman Old Style" w:cs="Times New Roman"/>
      <w:color w:val="000000"/>
      <w:sz w:val="19"/>
      <w:szCs w:val="20"/>
      <w:lang w:val="en-GB" w:eastAsia="de-CH"/>
    </w:rPr>
  </w:style>
  <w:style w:type="character" w:customStyle="1" w:styleId="SNFGRUNDTEXTZchn">
    <w:name w:val="SNF_GRUNDTEXT Zchn"/>
    <w:link w:val="SNFGRUNDTEXT"/>
    <w:uiPriority w:val="99"/>
    <w:rsid w:val="00B15E0B"/>
    <w:rPr>
      <w:rFonts w:ascii="Bookman Old Style" w:eastAsia="Times New Roman" w:hAnsi="Bookman Old Style" w:cs="Times New Roman"/>
      <w:color w:val="000000"/>
      <w:sz w:val="19"/>
      <w:szCs w:val="20"/>
      <w:lang w:val="en-GB"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tandard"/>
    <w:rsid w:val="00E969AC"/>
    <w:pPr>
      <w:widowControl w:val="0"/>
      <w:numPr>
        <w:numId w:val="1"/>
      </w:numPr>
      <w:autoSpaceDE w:val="0"/>
      <w:autoSpaceDN w:val="0"/>
      <w:adjustRightInd w:val="0"/>
      <w:spacing w:after="240" w:line="280" w:lineRule="exact"/>
    </w:pPr>
    <w:rPr>
      <w:rFonts w:ascii="Verdana" w:eastAsia="Times New Roman" w:hAnsi="Verdana" w:cs="Times New Roman"/>
      <w:b/>
      <w:szCs w:val="20"/>
      <w:lang w:val="en-GB" w:eastAsia="de-CH"/>
    </w:rPr>
  </w:style>
  <w:style w:type="paragraph" w:customStyle="1" w:styleId="SNFTITEL11">
    <w:name w:val="SNF_TITEL 1.1."/>
    <w:basedOn w:val="Standard"/>
    <w:next w:val="Standard"/>
    <w:rsid w:val="00E969AC"/>
    <w:pPr>
      <w:numPr>
        <w:ilvl w:val="1"/>
        <w:numId w:val="1"/>
      </w:numPr>
      <w:spacing w:after="120" w:line="280" w:lineRule="exact"/>
    </w:pPr>
    <w:rPr>
      <w:rFonts w:ascii="Verdana" w:eastAsia="Times New Roman" w:hAnsi="Verdana" w:cs="Times New Roman"/>
      <w:b/>
      <w:color w:val="000000"/>
      <w:sz w:val="18"/>
      <w:szCs w:val="20"/>
      <w:lang w:val="en-GB" w:eastAsia="de-CH"/>
    </w:rPr>
  </w:style>
  <w:style w:type="paragraph" w:customStyle="1" w:styleId="SNFTITEL111">
    <w:name w:val="SNF_TITEL 1.1.1."/>
    <w:basedOn w:val="Standard"/>
    <w:next w:val="Standard"/>
    <w:rsid w:val="00E969AC"/>
    <w:pPr>
      <w:numPr>
        <w:ilvl w:val="2"/>
        <w:numId w:val="1"/>
      </w:numPr>
      <w:tabs>
        <w:tab w:val="left" w:pos="737"/>
      </w:tabs>
      <w:spacing w:after="120" w:line="280" w:lineRule="exact"/>
    </w:pPr>
    <w:rPr>
      <w:rFonts w:ascii="Verdana" w:eastAsia="Times New Roman" w:hAnsi="Verdana" w:cs="Times New Roman"/>
      <w:b/>
      <w:color w:val="818181"/>
      <w:sz w:val="18"/>
      <w:szCs w:val="20"/>
      <w:lang w:val="en-GB" w:eastAsia="de-CH"/>
    </w:rPr>
  </w:style>
  <w:style w:type="paragraph" w:styleId="Funotentext">
    <w:name w:val="footnote text"/>
    <w:basedOn w:val="Standard"/>
    <w:link w:val="FunotentextZchn"/>
    <w:uiPriority w:val="99"/>
    <w:semiHidden/>
    <w:rsid w:val="00736692"/>
    <w:pPr>
      <w:spacing w:after="0" w:line="280" w:lineRule="exact"/>
    </w:pPr>
    <w:rPr>
      <w:rFonts w:ascii="Verdana" w:hAnsi="Verdana"/>
      <w:sz w:val="16"/>
      <w:szCs w:val="20"/>
      <w:lang w:val="en-GB"/>
    </w:rPr>
  </w:style>
  <w:style w:type="character" w:customStyle="1" w:styleId="FunotentextZchn">
    <w:name w:val="Fußnotentext Zchn"/>
    <w:basedOn w:val="Absatz-Standardschriftart"/>
    <w:link w:val="Funotentext"/>
    <w:uiPriority w:val="99"/>
    <w:semiHidden/>
    <w:rsid w:val="00736692"/>
    <w:rPr>
      <w:rFonts w:ascii="Verdana" w:hAnsi="Verdana"/>
      <w:sz w:val="16"/>
      <w:szCs w:val="20"/>
      <w:lang w:val="en-GB"/>
    </w:rPr>
  </w:style>
  <w:style w:type="character" w:styleId="Funotenzeichen">
    <w:name w:val="footnote reference"/>
    <w:basedOn w:val="Absatz-Standardschriftart"/>
    <w:uiPriority w:val="99"/>
    <w:semiHidden/>
    <w:unhideWhenUsed/>
    <w:rsid w:val="00736692"/>
    <w:rPr>
      <w:vertAlign w:val="superscript"/>
    </w:rPr>
  </w:style>
  <w:style w:type="paragraph" w:styleId="Sprechblasentext">
    <w:name w:val="Balloon Text"/>
    <w:basedOn w:val="Standard"/>
    <w:link w:val="SprechblasentextZchn"/>
    <w:uiPriority w:val="99"/>
    <w:semiHidden/>
    <w:unhideWhenUsed/>
    <w:rsid w:val="009733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3B6"/>
    <w:rPr>
      <w:rFonts w:ascii="Tahoma" w:hAnsi="Tahoma" w:cs="Tahoma"/>
      <w:sz w:val="16"/>
      <w:szCs w:val="16"/>
    </w:rPr>
  </w:style>
  <w:style w:type="character" w:styleId="Kommentarzeichen">
    <w:name w:val="annotation reference"/>
    <w:basedOn w:val="Absatz-Standardschriftart"/>
    <w:uiPriority w:val="99"/>
    <w:semiHidden/>
    <w:unhideWhenUsed/>
    <w:rsid w:val="00B967D9"/>
    <w:rPr>
      <w:sz w:val="16"/>
      <w:szCs w:val="16"/>
    </w:rPr>
  </w:style>
  <w:style w:type="paragraph" w:styleId="Kommentartext">
    <w:name w:val="annotation text"/>
    <w:basedOn w:val="Standard"/>
    <w:link w:val="KommentartextZchn"/>
    <w:uiPriority w:val="99"/>
    <w:semiHidden/>
    <w:unhideWhenUsed/>
    <w:rsid w:val="00B967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67D9"/>
    <w:rPr>
      <w:sz w:val="20"/>
      <w:szCs w:val="20"/>
    </w:rPr>
  </w:style>
  <w:style w:type="paragraph" w:styleId="Kommentarthema">
    <w:name w:val="annotation subject"/>
    <w:basedOn w:val="Kommentartext"/>
    <w:next w:val="Kommentartext"/>
    <w:link w:val="KommentarthemaZchn"/>
    <w:uiPriority w:val="99"/>
    <w:semiHidden/>
    <w:unhideWhenUsed/>
    <w:rsid w:val="00B967D9"/>
    <w:rPr>
      <w:b/>
      <w:bCs/>
    </w:rPr>
  </w:style>
  <w:style w:type="character" w:customStyle="1" w:styleId="KommentarthemaZchn">
    <w:name w:val="Kommentarthema Zchn"/>
    <w:basedOn w:val="KommentartextZchn"/>
    <w:link w:val="Kommentarthema"/>
    <w:uiPriority w:val="99"/>
    <w:semiHidden/>
    <w:rsid w:val="00B967D9"/>
    <w:rPr>
      <w:b/>
      <w:bCs/>
      <w:sz w:val="20"/>
      <w:szCs w:val="20"/>
    </w:rPr>
  </w:style>
  <w:style w:type="paragraph" w:styleId="Literaturverzeichnis">
    <w:name w:val="Bibliography"/>
    <w:basedOn w:val="Standard"/>
    <w:next w:val="Standard"/>
    <w:uiPriority w:val="37"/>
    <w:unhideWhenUsed/>
    <w:rsid w:val="00BD7A4F"/>
    <w:pPr>
      <w:spacing w:after="0" w:line="240" w:lineRule="auto"/>
      <w:ind w:left="720" w:hanging="720"/>
    </w:pPr>
  </w:style>
  <w:style w:type="character" w:styleId="Hyperlink">
    <w:name w:val="Hyperlink"/>
    <w:basedOn w:val="Absatz-Standardschriftart"/>
    <w:uiPriority w:val="99"/>
    <w:unhideWhenUsed/>
    <w:rsid w:val="004E61C5"/>
    <w:rPr>
      <w:color w:val="0000FF" w:themeColor="hyperlink"/>
      <w:u w:val="single"/>
    </w:rPr>
  </w:style>
  <w:style w:type="paragraph" w:styleId="Listenabsatz">
    <w:name w:val="List Paragraph"/>
    <w:basedOn w:val="Standard"/>
    <w:uiPriority w:val="34"/>
    <w:qFormat/>
    <w:rsid w:val="004B0348"/>
    <w:pPr>
      <w:ind w:left="720"/>
      <w:contextualSpacing/>
    </w:pPr>
  </w:style>
  <w:style w:type="paragraph" w:styleId="Beschriftung">
    <w:name w:val="caption"/>
    <w:basedOn w:val="Standard"/>
    <w:next w:val="Standard"/>
    <w:uiPriority w:val="35"/>
    <w:unhideWhenUsed/>
    <w:qFormat/>
    <w:rsid w:val="00130CF0"/>
    <w:pPr>
      <w:spacing w:line="240" w:lineRule="auto"/>
    </w:pPr>
    <w:rPr>
      <w:b/>
      <w:bCs/>
      <w:color w:val="4F81BD" w:themeColor="accent1"/>
      <w:sz w:val="18"/>
      <w:szCs w:val="18"/>
    </w:rPr>
  </w:style>
  <w:style w:type="paragraph" w:customStyle="1" w:styleId="SNFGRUNDTEXT">
    <w:name w:val="SNF_GRUNDTEXT"/>
    <w:basedOn w:val="Standard"/>
    <w:link w:val="SNFGRUNDTEXTZchn"/>
    <w:uiPriority w:val="99"/>
    <w:rsid w:val="00B15E0B"/>
    <w:pPr>
      <w:spacing w:after="0" w:line="280" w:lineRule="exact"/>
      <w:jc w:val="both"/>
    </w:pPr>
    <w:rPr>
      <w:rFonts w:ascii="Bookman Old Style" w:eastAsia="Times New Roman" w:hAnsi="Bookman Old Style" w:cs="Times New Roman"/>
      <w:color w:val="000000"/>
      <w:sz w:val="19"/>
      <w:szCs w:val="20"/>
      <w:lang w:val="en-GB" w:eastAsia="de-CH"/>
    </w:rPr>
  </w:style>
  <w:style w:type="character" w:customStyle="1" w:styleId="SNFGRUNDTEXTZchn">
    <w:name w:val="SNF_GRUNDTEXT Zchn"/>
    <w:link w:val="SNFGRUNDTEXT"/>
    <w:uiPriority w:val="99"/>
    <w:rsid w:val="00B15E0B"/>
    <w:rPr>
      <w:rFonts w:ascii="Bookman Old Style" w:eastAsia="Times New Roman" w:hAnsi="Bookman Old Style" w:cs="Times New Roman"/>
      <w:color w:val="000000"/>
      <w:sz w:val="19"/>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52774">
      <w:bodyDiv w:val="1"/>
      <w:marLeft w:val="0"/>
      <w:marRight w:val="0"/>
      <w:marTop w:val="0"/>
      <w:marBottom w:val="0"/>
      <w:divBdr>
        <w:top w:val="none" w:sz="0" w:space="0" w:color="auto"/>
        <w:left w:val="none" w:sz="0" w:space="0" w:color="auto"/>
        <w:bottom w:val="none" w:sz="0" w:space="0" w:color="auto"/>
        <w:right w:val="none" w:sz="0" w:space="0" w:color="auto"/>
      </w:divBdr>
    </w:div>
    <w:div w:id="1884831136">
      <w:bodyDiv w:val="1"/>
      <w:marLeft w:val="0"/>
      <w:marRight w:val="0"/>
      <w:marTop w:val="0"/>
      <w:marBottom w:val="0"/>
      <w:divBdr>
        <w:top w:val="none" w:sz="0" w:space="0" w:color="auto"/>
        <w:left w:val="none" w:sz="0" w:space="0" w:color="auto"/>
        <w:bottom w:val="none" w:sz="0" w:space="0" w:color="auto"/>
        <w:right w:val="none" w:sz="0" w:space="0" w:color="auto"/>
      </w:divBdr>
      <w:divsChild>
        <w:div w:id="470563697">
          <w:marLeft w:val="720"/>
          <w:marRight w:val="0"/>
          <w:marTop w:val="0"/>
          <w:marBottom w:val="0"/>
          <w:divBdr>
            <w:top w:val="none" w:sz="0" w:space="0" w:color="auto"/>
            <w:left w:val="none" w:sz="0" w:space="0" w:color="auto"/>
            <w:bottom w:val="none" w:sz="0" w:space="0" w:color="auto"/>
            <w:right w:val="none" w:sz="0" w:space="0" w:color="auto"/>
          </w:divBdr>
        </w:div>
        <w:div w:id="674498647">
          <w:marLeft w:val="720"/>
          <w:marRight w:val="0"/>
          <w:marTop w:val="0"/>
          <w:marBottom w:val="0"/>
          <w:divBdr>
            <w:top w:val="none" w:sz="0" w:space="0" w:color="auto"/>
            <w:left w:val="none" w:sz="0" w:space="0" w:color="auto"/>
            <w:bottom w:val="none" w:sz="0" w:space="0" w:color="auto"/>
            <w:right w:val="none" w:sz="0" w:space="0" w:color="auto"/>
          </w:divBdr>
        </w:div>
        <w:div w:id="645402791">
          <w:marLeft w:val="720"/>
          <w:marRight w:val="0"/>
          <w:marTop w:val="0"/>
          <w:marBottom w:val="0"/>
          <w:divBdr>
            <w:top w:val="none" w:sz="0" w:space="0" w:color="auto"/>
            <w:left w:val="none" w:sz="0" w:space="0" w:color="auto"/>
            <w:bottom w:val="none" w:sz="0" w:space="0" w:color="auto"/>
            <w:right w:val="none" w:sz="0" w:space="0" w:color="auto"/>
          </w:divBdr>
        </w:div>
      </w:divsChild>
    </w:div>
    <w:div w:id="2019623976">
      <w:bodyDiv w:val="1"/>
      <w:marLeft w:val="0"/>
      <w:marRight w:val="0"/>
      <w:marTop w:val="0"/>
      <w:marBottom w:val="0"/>
      <w:divBdr>
        <w:top w:val="none" w:sz="0" w:space="0" w:color="auto"/>
        <w:left w:val="none" w:sz="0" w:space="0" w:color="auto"/>
        <w:bottom w:val="none" w:sz="0" w:space="0" w:color="auto"/>
        <w:right w:val="none" w:sz="0" w:space="0" w:color="auto"/>
      </w:divBdr>
      <w:divsChild>
        <w:div w:id="935595456">
          <w:marLeft w:val="1138"/>
          <w:marRight w:val="0"/>
          <w:marTop w:val="0"/>
          <w:marBottom w:val="0"/>
          <w:divBdr>
            <w:top w:val="none" w:sz="0" w:space="0" w:color="auto"/>
            <w:left w:val="none" w:sz="0" w:space="0" w:color="auto"/>
            <w:bottom w:val="none" w:sz="0" w:space="0" w:color="auto"/>
            <w:right w:val="none" w:sz="0" w:space="0" w:color="auto"/>
          </w:divBdr>
        </w:div>
        <w:div w:id="508257901">
          <w:marLeft w:val="1138"/>
          <w:marRight w:val="0"/>
          <w:marTop w:val="0"/>
          <w:marBottom w:val="0"/>
          <w:divBdr>
            <w:top w:val="none" w:sz="0" w:space="0" w:color="auto"/>
            <w:left w:val="none" w:sz="0" w:space="0" w:color="auto"/>
            <w:bottom w:val="none" w:sz="0" w:space="0" w:color="auto"/>
            <w:right w:val="none" w:sz="0" w:space="0" w:color="auto"/>
          </w:divBdr>
        </w:div>
        <w:div w:id="1944071084">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33CA-EDB6-4307-BB42-06B46ADE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9806</Characters>
  <Application>Microsoft Office Word</Application>
  <DocSecurity>0</DocSecurity>
  <Lines>148</Lines>
  <Paragraphs>38</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Gallati Justus HSLU W</dc:creator>
  <cp:lastModifiedBy>Gallati Justus HSLU W</cp:lastModifiedBy>
  <cp:revision>2</cp:revision>
  <cp:lastPrinted>2017-03-09T08:24:00Z</cp:lastPrinted>
  <dcterms:created xsi:type="dcterms:W3CDTF">2017-03-14T13:32:00Z</dcterms:created>
  <dcterms:modified xsi:type="dcterms:W3CDTF">2017-03-14T13:32:00Z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id="73E7rrrO"/&gt;&lt;style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